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CE0" w:rsidRDefault="002F36E5">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10</w:t>
      </w:r>
      <w:r w:rsidR="009853D8">
        <w:rPr>
          <w:rFonts w:ascii="Arial" w:hAnsi="Arial" w:cs="Arial" w:hint="eastAsia"/>
          <w:sz w:val="22"/>
        </w:rPr>
        <w:t>-</w:t>
      </w:r>
      <w:r>
        <w:rPr>
          <w:rFonts w:ascii="Arial" w:hAnsi="Arial" w:cs="Arial" w:hint="eastAsia"/>
          <w:sz w:val="22"/>
        </w:rPr>
        <w:t>bis</w:t>
      </w:r>
      <w:r w:rsidR="009853D8">
        <w:rPr>
          <w:rFonts w:ascii="Arial" w:hAnsi="Arial" w:cs="Arial"/>
          <w:sz w:val="22"/>
        </w:rPr>
        <w:t>-e</w:t>
      </w:r>
      <w:r>
        <w:rPr>
          <w:rFonts w:ascii="Arial" w:hAnsi="Arial" w:cs="Arial"/>
          <w:sz w:val="22"/>
        </w:rPr>
        <w:tab/>
        <w:t xml:space="preserve"> </w:t>
      </w:r>
      <w:r>
        <w:rPr>
          <w:rFonts w:ascii="Arial" w:hAnsi="Arial" w:cs="Arial"/>
          <w:sz w:val="22"/>
        </w:rPr>
        <w:tab/>
        <w:t xml:space="preserve">                                   </w:t>
      </w:r>
      <w:r>
        <w:rPr>
          <w:rFonts w:ascii="Arial" w:hAnsi="Arial" w:cs="Arial"/>
          <w:sz w:val="22"/>
        </w:rPr>
        <w:tab/>
      </w:r>
      <w:r w:rsidR="009853D8">
        <w:rPr>
          <w:rFonts w:ascii="Arial" w:hAnsi="Arial" w:cs="Arial"/>
          <w:sz w:val="22"/>
        </w:rPr>
        <w:t xml:space="preserve"> </w:t>
      </w:r>
      <w:r>
        <w:rPr>
          <w:rFonts w:ascii="Arial" w:hAnsi="Arial" w:cs="Arial"/>
          <w:sz w:val="22"/>
        </w:rPr>
        <w:t>R1-</w:t>
      </w:r>
      <w:r w:rsidR="009853D8">
        <w:rPr>
          <w:rFonts w:ascii="Arial" w:hAnsi="Arial" w:cs="Arial"/>
          <w:sz w:val="22"/>
        </w:rPr>
        <w:t>2208695</w:t>
      </w:r>
    </w:p>
    <w:p w:rsidR="006D6CE0" w:rsidRDefault="002F36E5">
      <w:pPr>
        <w:pStyle w:val="3GPPHeader"/>
        <w:tabs>
          <w:tab w:val="clear" w:pos="1800"/>
          <w:tab w:val="left" w:pos="1580"/>
        </w:tabs>
        <w:snapToGrid w:val="0"/>
        <w:rPr>
          <w:rFonts w:cs="Arial"/>
          <w:bCs/>
          <w:sz w:val="22"/>
        </w:rPr>
      </w:pPr>
      <w:r>
        <w:rPr>
          <w:rFonts w:cs="Arial" w:hint="eastAsia"/>
          <w:bCs/>
          <w:sz w:val="22"/>
        </w:rPr>
        <w:t>e-Meeting</w:t>
      </w:r>
      <w:r>
        <w:rPr>
          <w:rFonts w:cs="Arial"/>
          <w:bCs/>
          <w:sz w:val="22"/>
        </w:rPr>
        <w:t xml:space="preserve">, </w:t>
      </w:r>
      <w:r>
        <w:rPr>
          <w:rFonts w:cs="Arial" w:hint="eastAsia"/>
          <w:bCs/>
          <w:sz w:val="22"/>
        </w:rPr>
        <w:t>October 10</w:t>
      </w:r>
      <w:r w:rsidRPr="00DC4936">
        <w:rPr>
          <w:rFonts w:cs="Arial"/>
          <w:bCs/>
          <w:sz w:val="22"/>
          <w:vertAlign w:val="superscript"/>
        </w:rPr>
        <w:t xml:space="preserve">th </w:t>
      </w:r>
      <w:r>
        <w:rPr>
          <w:rFonts w:cs="Arial"/>
          <w:bCs/>
          <w:sz w:val="22"/>
        </w:rPr>
        <w:t xml:space="preserve">– </w:t>
      </w:r>
      <w:r>
        <w:rPr>
          <w:rFonts w:cs="Arial" w:hint="eastAsia"/>
          <w:bCs/>
          <w:sz w:val="22"/>
        </w:rPr>
        <w:t>19</w:t>
      </w:r>
      <w:r w:rsidRPr="00DC4936">
        <w:rPr>
          <w:rFonts w:cs="Arial"/>
          <w:bCs/>
          <w:sz w:val="22"/>
          <w:vertAlign w:val="superscript"/>
        </w:rPr>
        <w:t>th</w:t>
      </w:r>
      <w:r>
        <w:rPr>
          <w:rFonts w:cs="Arial"/>
          <w:bCs/>
          <w:sz w:val="22"/>
        </w:rPr>
        <w:t>, 2022</w:t>
      </w:r>
    </w:p>
    <w:p w:rsidR="006D6CE0" w:rsidRDefault="006D6CE0">
      <w:pPr>
        <w:pStyle w:val="3GPPHeader"/>
        <w:snapToGrid w:val="0"/>
        <w:rPr>
          <w:rFonts w:cs="Arial"/>
          <w:sz w:val="22"/>
        </w:rPr>
      </w:pPr>
    </w:p>
    <w:p w:rsidR="006D6CE0" w:rsidRDefault="002F36E5">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6D6CE0" w:rsidRDefault="002F36E5">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disabling of HARQ feedback for IoT-NTN</w:t>
      </w:r>
    </w:p>
    <w:p w:rsidR="006D6CE0" w:rsidRDefault="002F36E5">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11.3</w:t>
      </w:r>
    </w:p>
    <w:p w:rsidR="006D6CE0" w:rsidRDefault="002F36E5">
      <w:pPr>
        <w:pBdr>
          <w:bottom w:val="single" w:sz="6" w:space="1" w:color="auto"/>
        </w:pBdr>
        <w:snapToGrid w:val="0"/>
        <w:jc w:val="both"/>
        <w:rPr>
          <w:rFonts w:ascii="Arial" w:hAnsi="Arial"/>
          <w:b/>
        </w:rPr>
      </w:pPr>
      <w:r>
        <w:rPr>
          <w:rFonts w:ascii="Arial" w:hAnsi="Arial"/>
          <w:b/>
        </w:rPr>
        <w:t>Document for: Discussion</w:t>
      </w:r>
      <w:bookmarkEnd w:id="0"/>
      <w:bookmarkEnd w:id="1"/>
    </w:p>
    <w:p w:rsidR="006D6CE0" w:rsidRDefault="002F36E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6D6CE0" w:rsidRDefault="005A6D15" w:rsidP="00DC4936">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Based on the agreement in </w:t>
      </w:r>
      <w:r w:rsidR="002F36E5">
        <w:rPr>
          <w:rFonts w:ascii="Times New Roman" w:eastAsia="宋体" w:hAnsi="Times New Roman" w:cs="Times New Roman"/>
          <w:sz w:val="20"/>
          <w:szCs w:val="20"/>
        </w:rPr>
        <w:t>RAN1#1</w:t>
      </w:r>
      <w:r>
        <w:rPr>
          <w:rFonts w:ascii="Times New Roman" w:eastAsia="宋体" w:hAnsi="Times New Roman" w:cs="Times New Roman"/>
          <w:sz w:val="20"/>
          <w:szCs w:val="20"/>
        </w:rPr>
        <w:t>09e and RAN1#110</w:t>
      </w:r>
      <w:r w:rsidR="002F36E5">
        <w:rPr>
          <w:rFonts w:ascii="Times New Roman" w:eastAsia="宋体" w:hAnsi="Times New Roman" w:cs="Times New Roman"/>
          <w:sz w:val="20"/>
          <w:szCs w:val="20"/>
        </w:rPr>
        <w:t xml:space="preserve"> meeting, </w:t>
      </w:r>
      <w:r>
        <w:rPr>
          <w:rFonts w:ascii="Times New Roman" w:eastAsia="宋体" w:hAnsi="Times New Roman" w:cs="Times New Roman"/>
          <w:sz w:val="20"/>
          <w:szCs w:val="20"/>
        </w:rPr>
        <w:t xml:space="preserve">in </w:t>
      </w:r>
      <w:r w:rsidR="002F36E5">
        <w:rPr>
          <w:rFonts w:ascii="Times New Roman" w:eastAsia="宋体" w:hAnsi="Times New Roman" w:cs="Times New Roman"/>
          <w:sz w:val="20"/>
          <w:szCs w:val="20"/>
        </w:rPr>
        <w:t xml:space="preserve">this contribution, the solutions to </w:t>
      </w:r>
      <w:r w:rsidR="002F36E5">
        <w:rPr>
          <w:rFonts w:ascii="Times New Roman" w:eastAsia="宋体" w:hAnsi="Times New Roman" w:cs="Times New Roman" w:hint="eastAsia"/>
          <w:sz w:val="20"/>
          <w:szCs w:val="20"/>
        </w:rPr>
        <w:t>configure the HARQ feedback enabling/disabling</w:t>
      </w:r>
      <w:r w:rsidR="002F36E5">
        <w:rPr>
          <w:rFonts w:ascii="Times New Roman" w:eastAsia="宋体" w:hAnsi="Times New Roman" w:cs="Times New Roman"/>
          <w:sz w:val="20"/>
          <w:szCs w:val="20"/>
        </w:rPr>
        <w:t xml:space="preserve"> and potential issues are </w:t>
      </w:r>
      <w:r>
        <w:rPr>
          <w:rFonts w:ascii="Times New Roman" w:eastAsia="宋体" w:hAnsi="Times New Roman" w:cs="Times New Roman"/>
          <w:sz w:val="20"/>
          <w:szCs w:val="20"/>
        </w:rPr>
        <w:t xml:space="preserve">further </w:t>
      </w:r>
      <w:r w:rsidR="002F36E5">
        <w:rPr>
          <w:rFonts w:ascii="Times New Roman" w:eastAsia="宋体" w:hAnsi="Times New Roman" w:cs="Times New Roman"/>
          <w:sz w:val="20"/>
          <w:szCs w:val="20"/>
        </w:rPr>
        <w:t xml:space="preserve">elaborated with corresponding analysis. </w:t>
      </w:r>
    </w:p>
    <w:p w:rsidR="006D6CE0" w:rsidRDefault="002F36E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Configuration of HARQ feedback disabling</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Rel-17 SI for IoT-NTN, the study to support the HARQ feedback disabling is conducted without normative works in Rel-17 due to the limited time. Similar to the NR-NTN, the benefits for such mechanism is to mitigate the impact of HARQ sta</w:t>
      </w:r>
      <w:r>
        <w:rPr>
          <w:rFonts w:ascii="Times New Roman" w:eastAsia="宋体" w:hAnsi="Times New Roman" w:cs="Times New Roman" w:hint="eastAsia"/>
          <w:sz w:val="20"/>
          <w:szCs w:val="20"/>
        </w:rPr>
        <w:t>l</w:t>
      </w:r>
      <w:r>
        <w:rPr>
          <w:rFonts w:ascii="Times New Roman" w:eastAsia="宋体" w:hAnsi="Times New Roman" w:cs="Times New Roman"/>
          <w:sz w:val="20"/>
          <w:szCs w:val="20"/>
        </w:rPr>
        <w:t xml:space="preserve">ling with potential improvement on the </w:t>
      </w:r>
      <w:r>
        <w:rPr>
          <w:rFonts w:ascii="Times New Roman" w:eastAsia="宋体" w:hAnsi="Times New Roman" w:cs="Times New Roman" w:hint="eastAsia"/>
          <w:sz w:val="20"/>
          <w:szCs w:val="20"/>
        </w:rPr>
        <w:t xml:space="preserve">data </w:t>
      </w:r>
      <w:r>
        <w:rPr>
          <w:rFonts w:ascii="Times New Roman" w:eastAsia="宋体" w:hAnsi="Times New Roman" w:cs="Times New Roman"/>
          <w:sz w:val="20"/>
          <w:szCs w:val="20"/>
        </w:rPr>
        <w:t>rate for IoT case to enable more service</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In this release, as shown in the endorsed WI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eastAsia="宋体" w:hAnsi="Times New Roman" w:cs="Times New Roman"/>
          <w:sz w:val="20"/>
          <w:szCs w:val="20"/>
        </w:rPr>
        <w:t xml:space="preserve">, specify the mechanism to enable this functionality in IoT-NTN is expected. Regarding on the solutions </w:t>
      </w:r>
      <w:r>
        <w:rPr>
          <w:rFonts w:ascii="Times New Roman" w:eastAsia="宋体" w:hAnsi="Times New Roman" w:cs="Times New Roman" w:hint="eastAsia"/>
          <w:sz w:val="20"/>
          <w:szCs w:val="20"/>
        </w:rPr>
        <w:t xml:space="preserve">to configure the HARQ feedback enabling/disabling, </w:t>
      </w:r>
      <w:r>
        <w:rPr>
          <w:rFonts w:ascii="Times New Roman" w:eastAsia="宋体" w:hAnsi="Times New Roman" w:cs="Times New Roman"/>
          <w:sz w:val="20"/>
          <w:szCs w:val="20"/>
        </w:rPr>
        <w:t xml:space="preserve">in general, </w:t>
      </w:r>
      <w:r>
        <w:rPr>
          <w:rFonts w:ascii="Times New Roman" w:eastAsia="宋体" w:hAnsi="Times New Roman" w:cs="Times New Roman" w:hint="eastAsia"/>
          <w:sz w:val="20"/>
          <w:szCs w:val="20"/>
        </w:rPr>
        <w:t>3 options were agreed for further consideration in the RAN1#110e meeting, refer to the introduction.</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Rel-17 NR-NTN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_Ref1095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there is following agreement for disabling on HARQ feedback:</w:t>
      </w:r>
    </w:p>
    <w:p w:rsidR="006D6CE0" w:rsidRDefault="002F36E5">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rsidR="006D6CE0" w:rsidRDefault="002F36E5">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Enabling/disabling on HARQ feedback for downlink transmission should be at least configurable per HARQ process via UE specific RRC signaling</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Based on above agreement, it can be observed that enabling/disabling on HARQ feedback is configurable per HARQ process via UE specific RRC signaling in NR-NTN, i.e., option 1 has been adopted in NR-NTN. Furthermore, the channel condition in IoT-NTN is more stable than NR-NTN since most of UEs are stationary. Introducing new dynamic configuration method for HARQ feedback disabling is not needed, i.e., extra blind detection complexity and spec efforts, </w:t>
      </w:r>
      <w:r w:rsidR="00F746FF">
        <w:rPr>
          <w:rFonts w:ascii="Times New Roman" w:eastAsia="宋体" w:hAnsi="Times New Roman" w:cs="Times New Roman"/>
          <w:sz w:val="20"/>
          <w:szCs w:val="20"/>
        </w:rPr>
        <w:t>etc</w:t>
      </w:r>
      <w:r>
        <w:rPr>
          <w:rFonts w:ascii="Times New Roman" w:eastAsia="宋体" w:hAnsi="Times New Roman" w:cs="Times New Roman" w:hint="eastAsia"/>
          <w:sz w:val="20"/>
          <w:szCs w:val="20"/>
        </w:rPr>
        <w:t>. Therefore, directly reusing the NR-NTN method at least for multiple HARQ process for NB-IoT and eMTC</w:t>
      </w:r>
      <w:r>
        <w:rPr>
          <w:iCs/>
          <w:sz w:val="20"/>
          <w:szCs w:val="20"/>
        </w:rPr>
        <w:t xml:space="preserve"> </w:t>
      </w:r>
      <w:r>
        <w:rPr>
          <w:rFonts w:ascii="Times New Roman" w:eastAsia="宋体" w:hAnsi="Times New Roman" w:cs="Times New Roman" w:hint="eastAsia"/>
          <w:sz w:val="20"/>
          <w:szCs w:val="20"/>
        </w:rPr>
        <w:t xml:space="preserve">will further facilitate/ease the discussion and standard effort, i.e., option 1, is preferred. For the case of single HARQ process for NB-IoT, considering that low data rate of NB-IoT and </w:t>
      </w:r>
      <w:r w:rsidR="00F746FF">
        <w:rPr>
          <w:rFonts w:ascii="Times New Roman" w:eastAsia="宋体" w:hAnsi="Times New Roman" w:cs="Times New Roman"/>
          <w:sz w:val="20"/>
          <w:szCs w:val="20"/>
        </w:rPr>
        <w:t>minor</w:t>
      </w:r>
      <w:r>
        <w:rPr>
          <w:rFonts w:ascii="Times New Roman" w:eastAsia="宋体" w:hAnsi="Times New Roman" w:cs="Times New Roman" w:hint="eastAsia"/>
          <w:sz w:val="20"/>
          <w:szCs w:val="20"/>
        </w:rPr>
        <w:t xml:space="preserve"> performance gain bring by disable single HARQ process feedback, the network can decide whether to disable it or not, i.e., single HARQ process feedback </w:t>
      </w:r>
      <w:r w:rsidR="00F746FF">
        <w:rPr>
          <w:rFonts w:ascii="Times New Roman" w:eastAsia="宋体" w:hAnsi="Times New Roman" w:cs="Times New Roman"/>
          <w:sz w:val="20"/>
          <w:szCs w:val="20"/>
        </w:rPr>
        <w:t>mechanism</w:t>
      </w:r>
      <w:r>
        <w:rPr>
          <w:rFonts w:ascii="Times New Roman" w:eastAsia="宋体" w:hAnsi="Times New Roman" w:cs="Times New Roman" w:hint="eastAsia"/>
          <w:sz w:val="20"/>
          <w:szCs w:val="20"/>
        </w:rPr>
        <w:t xml:space="preserve"> is same as normal HARQ feedback to </w:t>
      </w:r>
      <w:r w:rsidR="00F746FF">
        <w:rPr>
          <w:rFonts w:ascii="Times New Roman" w:eastAsia="宋体" w:hAnsi="Times New Roman" w:cs="Times New Roman"/>
          <w:sz w:val="20"/>
          <w:szCs w:val="20"/>
        </w:rPr>
        <w:t>avoid</w:t>
      </w:r>
      <w:r>
        <w:rPr>
          <w:rFonts w:ascii="Times New Roman" w:eastAsia="宋体" w:hAnsi="Times New Roman" w:cs="Times New Roman" w:hint="eastAsia"/>
          <w:sz w:val="20"/>
          <w:szCs w:val="20"/>
        </w:rPr>
        <w:t xml:space="preserve"> frequent RRC signaling to switch on HARQ feedback for control signaling.</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Moreover, whether all HARQ processes can be disabled was also discussed in RAN1#110e. Based on the discussions in NR-NTN, IoT-NTN with option 1 configuration can give the network enough flexibility to disable all or some of the feedback. A smart network node can properly determine </w:t>
      </w:r>
      <w:r>
        <w:rPr>
          <w:rFonts w:ascii="Times New Roman" w:eastAsia="宋体" w:hAnsi="Times New Roman" w:cs="Times New Roman"/>
          <w:sz w:val="20"/>
          <w:szCs w:val="20"/>
        </w:rPr>
        <w:t>w</w:t>
      </w:r>
      <w:r>
        <w:rPr>
          <w:rFonts w:ascii="Times New Roman" w:eastAsia="宋体" w:hAnsi="Times New Roman" w:cs="Times New Roman" w:hint="eastAsia"/>
          <w:sz w:val="20"/>
          <w:szCs w:val="20"/>
        </w:rPr>
        <w:t>hether to disable all HARQ processes according to the reliability requirements, the throughput performance, etc.</w:t>
      </w:r>
    </w:p>
    <w:p w:rsidR="006D6CE0" w:rsidRDefault="002F36E5">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CE260C">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 xml:space="preserve">Reuse the HARQ feedback disabling solution agreed in Rel-17 NR-NTN, </w:t>
      </w:r>
      <w:r>
        <w:rPr>
          <w:rFonts w:ascii="Times New Roman" w:eastAsia="宋体" w:hAnsi="Times New Roman"/>
          <w:bCs/>
          <w:i/>
          <w:sz w:val="20"/>
          <w:szCs w:val="20"/>
        </w:rPr>
        <w:t>i.e.</w:t>
      </w:r>
      <w:r>
        <w:rPr>
          <w:rFonts w:ascii="Times New Roman" w:eastAsia="宋体" w:hAnsi="Times New Roman" w:hint="eastAsia"/>
          <w:bCs/>
          <w:i/>
          <w:sz w:val="20"/>
          <w:szCs w:val="20"/>
        </w:rPr>
        <w:t>, enabling/disabling on HARQ feedback for downlink transmission is configurable per HARQ process via UE specific RRC signaling, as option 1.</w:t>
      </w:r>
    </w:p>
    <w:p w:rsidR="006D6CE0" w:rsidRDefault="002F36E5">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CE260C">
        <w:rPr>
          <w:rFonts w:ascii="Times New Roman" w:eastAsia="宋体" w:hAnsi="Times New Roman"/>
          <w:b/>
          <w:i/>
          <w:sz w:val="20"/>
          <w:szCs w:val="20"/>
        </w:rPr>
        <w:t>2</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For the case of single HARQ process for NB-IoT, whether to disable it or not depends on network configuration.</w:t>
      </w:r>
    </w:p>
    <w:p w:rsidR="006D6CE0" w:rsidRDefault="002F36E5">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CE260C">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The decision on whether and how many </w:t>
      </w:r>
      <w:r>
        <w:rPr>
          <w:rFonts w:ascii="Times New Roman" w:eastAsia="宋体" w:hAnsi="Times New Roman" w:hint="eastAsia"/>
          <w:bCs/>
          <w:i/>
          <w:sz w:val="20"/>
          <w:szCs w:val="20"/>
        </w:rPr>
        <w:t xml:space="preserve">HARQ processes </w:t>
      </w:r>
      <w:r>
        <w:rPr>
          <w:rFonts w:ascii="Times New Roman" w:eastAsia="宋体" w:hAnsi="Times New Roman"/>
          <w:bCs/>
          <w:i/>
          <w:sz w:val="20"/>
          <w:szCs w:val="20"/>
        </w:rPr>
        <w:t xml:space="preserve">are disabled </w:t>
      </w:r>
      <w:r>
        <w:rPr>
          <w:rFonts w:ascii="Times New Roman" w:eastAsia="宋体" w:hAnsi="Times New Roman" w:hint="eastAsia"/>
          <w:bCs/>
          <w:i/>
          <w:sz w:val="20"/>
          <w:szCs w:val="20"/>
        </w:rPr>
        <w:t>depends on network configuration.</w:t>
      </w:r>
    </w:p>
    <w:p w:rsidR="006D6CE0" w:rsidRDefault="002F36E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Further study on potential issues</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Potential issues mentioned in this section are related to HARQ disabling and corresponding standard impacts/enhancements. Since the HARQ feedback disable design is still under discussion, we only state our views on the main issues.</w:t>
      </w:r>
    </w:p>
    <w:p w:rsidR="006D6CE0" w:rsidRDefault="002F36E5">
      <w:pPr>
        <w:pStyle w:val="2"/>
        <w:numPr>
          <w:ilvl w:val="1"/>
          <w:numId w:val="1"/>
        </w:numPr>
        <w:spacing w:before="0" w:after="0"/>
        <w:ind w:left="851" w:hanging="431"/>
        <w:rPr>
          <w:rFonts w:eastAsia="黑体" w:cs="Times New Roman"/>
          <w:b/>
          <w:bCs/>
          <w:sz w:val="24"/>
          <w:szCs w:val="28"/>
          <w:lang w:val="en-US"/>
        </w:rPr>
      </w:pPr>
      <w:r>
        <w:rPr>
          <w:rFonts w:eastAsia="黑体" w:cs="Times New Roman" w:hint="eastAsia"/>
          <w:b/>
          <w:bCs/>
          <w:sz w:val="24"/>
          <w:szCs w:val="28"/>
          <w:lang w:val="en-US"/>
        </w:rPr>
        <w:t>HARQ bundling for eMTC HD-FDD</w:t>
      </w:r>
    </w:p>
    <w:p w:rsidR="006D6CE0" w:rsidRDefault="00F84EC6">
      <w:pPr>
        <w:numPr>
          <w:ilvl w:val="7"/>
          <w:numId w:val="0"/>
        </w:numPr>
        <w:spacing w:beforeLines="50" w:before="120" w:afterLines="50" w:after="120" w:line="240" w:lineRule="auto"/>
        <w:ind w:leftChars="200" w:left="440"/>
        <w:rPr>
          <w:rFonts w:ascii="Times New Roman" w:eastAsia="宋体" w:hAnsi="Times New Roman" w:cs="Times New Roman"/>
          <w:sz w:val="20"/>
          <w:szCs w:val="20"/>
          <w:lang w:bidi="ar"/>
        </w:rPr>
      </w:pPr>
      <w:r>
        <w:rPr>
          <w:rFonts w:ascii="Times New Roman" w:eastAsia="宋体" w:hAnsi="Times New Roman" w:cs="Times New Roman"/>
          <w:sz w:val="20"/>
          <w:szCs w:val="20"/>
        </w:rPr>
        <w:t>e</w:t>
      </w:r>
      <w:r>
        <w:rPr>
          <w:rFonts w:ascii="Times New Roman" w:eastAsia="宋体" w:hAnsi="Times New Roman" w:cs="Times New Roman" w:hint="eastAsia"/>
          <w:sz w:val="20"/>
          <w:szCs w:val="20"/>
        </w:rPr>
        <w:t xml:space="preserve">MTC </w:t>
      </w:r>
      <w:r w:rsidR="002F36E5">
        <w:rPr>
          <w:rFonts w:ascii="Times New Roman" w:eastAsia="宋体" w:hAnsi="Times New Roman" w:cs="Times New Roman" w:hint="eastAsia"/>
          <w:sz w:val="20"/>
          <w:szCs w:val="20"/>
        </w:rPr>
        <w:t xml:space="preserve">HD-FDD HARQ bundling is introduced in Rel.14 and enhanced in Rel.17. In the previous RAN1#110e meeting, </w:t>
      </w:r>
      <w:r w:rsidR="002F36E5">
        <w:rPr>
          <w:rFonts w:ascii="Times New Roman" w:eastAsia="宋体" w:hAnsi="Times New Roman" w:cs="Times New Roman" w:hint="eastAsia"/>
          <w:sz w:val="20"/>
          <w:szCs w:val="20"/>
          <w:lang w:eastAsia="ko-KR"/>
        </w:rPr>
        <w:t>the design of disablement of HARQ feedback where HARQ feedback is bundled, and HARQ</w:t>
      </w:r>
      <w:r w:rsidR="002F36E5">
        <w:rPr>
          <w:rFonts w:ascii="Times New Roman" w:eastAsia="宋体" w:hAnsi="Times New Roman" w:cs="Times New Roman" w:hint="eastAsia"/>
          <w:sz w:val="20"/>
          <w:szCs w:val="20"/>
        </w:rPr>
        <w:t xml:space="preserve"> </w:t>
      </w:r>
      <w:r w:rsidR="002F36E5">
        <w:rPr>
          <w:rFonts w:ascii="Times New Roman" w:eastAsia="宋体" w:hAnsi="Times New Roman" w:cs="Times New Roman" w:hint="eastAsia"/>
          <w:sz w:val="20"/>
          <w:szCs w:val="20"/>
          <w:lang w:eastAsia="ko-KR"/>
        </w:rPr>
        <w:t>feedback is enabled for some HARQ processes and is disabled for others</w:t>
      </w:r>
      <w:r w:rsidR="002F36E5">
        <w:rPr>
          <w:rFonts w:ascii="Times New Roman" w:eastAsia="宋体" w:hAnsi="Times New Roman" w:cs="Times New Roman" w:hint="eastAsia"/>
          <w:sz w:val="20"/>
          <w:szCs w:val="20"/>
        </w:rPr>
        <w:t xml:space="preserve"> </w:t>
      </w:r>
      <w:r w:rsidR="002F36E5">
        <w:rPr>
          <w:rFonts w:ascii="Times New Roman" w:eastAsia="宋体" w:hAnsi="Times New Roman" w:cs="Times New Roman" w:hint="eastAsia"/>
          <w:sz w:val="20"/>
          <w:szCs w:val="20"/>
          <w:lang w:bidi="ar"/>
        </w:rPr>
        <w:t>was discussed for further study. In section 7.3.1 of TS 36.213, the following text is written:</w:t>
      </w:r>
    </w:p>
    <w:p w:rsidR="006D6CE0" w:rsidRDefault="002F36E5">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Cs/>
          <w:i/>
          <w:sz w:val="20"/>
          <w:szCs w:val="20"/>
        </w:rPr>
        <w:t>For a BL/CE UE in half-duplex FDD operation, if the UE is configured with CEModeA, and if the UE is configured with higher layer parameter ce-HARQ-AckBundling and the 'HARQ-ACK bundling flag' in the corresponding DCI is set to 1,</w:t>
      </w:r>
    </w:p>
    <w:p w:rsidR="006D6CE0" w:rsidRDefault="002F36E5">
      <w:pPr>
        <w:numPr>
          <w:ilvl w:val="0"/>
          <w:numId w:val="7"/>
        </w:numPr>
        <w:spacing w:beforeLines="50" w:before="120" w:afterLines="50" w:after="120" w:line="240" w:lineRule="auto"/>
        <w:ind w:leftChars="200" w:left="860"/>
        <w:rPr>
          <w:rFonts w:ascii="Times New Roman" w:eastAsia="宋体" w:hAnsi="Times New Roman"/>
          <w:bCs/>
          <w:i/>
          <w:sz w:val="20"/>
          <w:szCs w:val="20"/>
        </w:rPr>
      </w:pPr>
      <w:r>
        <w:rPr>
          <w:rFonts w:ascii="Times New Roman" w:eastAsia="宋体" w:hAnsi="Times New Roman"/>
          <w:bCs/>
          <w:i/>
          <w:sz w:val="20"/>
          <w:szCs w:val="20"/>
        </w:rPr>
        <w:t>for HARQ-ACK transmission in subframe n, the UE shall generate one HARQ-ACK bit by performing a logical AND operation of HARQ-ACKs across all</w:t>
      </w:r>
      <w:r>
        <w:rPr>
          <w:rFonts w:ascii="Times New Roman" w:eastAsia="宋体" w:hAnsi="Times New Roman" w:hint="eastAsia"/>
          <w:bCs/>
          <w:i/>
          <w:sz w:val="20"/>
          <w:szCs w:val="20"/>
        </w:rPr>
        <w:t xml:space="preserve"> </w:t>
      </w:r>
      <m:oMath>
        <m:r>
          <w:rPr>
            <w:rFonts w:ascii="Cambria Math" w:eastAsia="宋体" w:hAnsi="Cambria Math"/>
            <w:sz w:val="20"/>
            <w:szCs w:val="20"/>
          </w:rPr>
          <m:t>1</m:t>
        </m:r>
        <m:r>
          <w:rPr>
            <w:rFonts w:ascii="Cambria Math" w:hAnsi="Cambria Math"/>
            <w:sz w:val="20"/>
            <w:szCs w:val="20"/>
          </w:rPr>
          <m:t>≤M≤4</m:t>
        </m:r>
      </m:oMath>
      <w:r>
        <w:rPr>
          <w:rFonts w:ascii="Times New Roman" w:eastAsia="宋体" w:hAnsi="Times New Roman"/>
          <w:bCs/>
          <w:i/>
          <w:sz w:val="20"/>
          <w:szCs w:val="20"/>
        </w:rPr>
        <w:t xml:space="preserve"> </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BL/CE DL subframes for which subframe n is the 'HARQ-ACK transmission subframe'. </w:t>
      </w:r>
    </w:p>
    <w:p w:rsidR="006D6CE0" w:rsidRDefault="006D4BBF">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For</w:t>
      </w:r>
      <m:oMath>
        <m:r>
          <m:rPr>
            <m:sty m:val="p"/>
          </m:rPr>
          <w:rPr>
            <w:rFonts w:ascii="Cambria Math" w:eastAsia="宋体" w:hAnsi="Cambria Math" w:cs="Times New Roman"/>
            <w:sz w:val="20"/>
            <w:szCs w:val="20"/>
          </w:rPr>
          <m:t xml:space="preserve"> </m:t>
        </m:r>
        <m:r>
          <m:rPr>
            <m:sty m:val="p"/>
          </m:rPr>
          <w:rPr>
            <w:rFonts w:ascii="Cambria Math" w:eastAsia="宋体" w:hAnsi="Cambria Math" w:cs="Times New Roman" w:hint="eastAsia"/>
            <w:sz w:val="20"/>
            <w:szCs w:val="20"/>
          </w:rPr>
          <m:t>M=1</m:t>
        </m:r>
      </m:oMath>
      <w:r w:rsidR="002F36E5">
        <w:rPr>
          <w:rFonts w:ascii="Times New Roman" w:eastAsia="宋体" w:hAnsi="Times New Roman" w:cs="Times New Roman" w:hint="eastAsia"/>
          <w:sz w:val="20"/>
          <w:szCs w:val="20"/>
        </w:rPr>
        <w:t xml:space="preserve">, by setting the "HARQ-ACK bundling flag" field in the DCI to 0, the situation that some HARQ feedbacks are enabled and some HARQ feedbacks are disabled in the HARQ feedback bundling can be solved. For </w:t>
      </w:r>
      <m:oMath>
        <m:r>
          <m:rPr>
            <m:sty m:val="p"/>
          </m:rPr>
          <w:rPr>
            <w:rFonts w:ascii="Cambria Math" w:eastAsia="宋体" w:hAnsi="Cambria Math" w:cs="Times New Roman" w:hint="eastAsia"/>
            <w:sz w:val="20"/>
            <w:szCs w:val="20"/>
          </w:rPr>
          <m:t>M=</m:t>
        </m:r>
      </m:oMath>
      <w:r w:rsidR="002F36E5">
        <w:rPr>
          <w:rFonts w:ascii="Times New Roman" w:eastAsia="宋体" w:hAnsi="Times New Roman" w:cs="Times New Roman" w:hint="eastAsia"/>
          <w:sz w:val="20"/>
          <w:szCs w:val="20"/>
        </w:rPr>
        <w:t>4, by setting the "HARQ-ACK bundling flag" field in the DCI to 1, allows all transport blocks in a bundle(max 4 transport blocks in a bundle ) to be logically ANDed and then fed back, which is the same as legacy behavior. However, for 2</w:t>
      </w:r>
      <m:oMath>
        <m:r>
          <m:rPr>
            <m:sty m:val="p"/>
          </m:rPr>
          <w:rPr>
            <w:rFonts w:ascii="Cambria Math" w:eastAsia="宋体" w:hAnsi="Cambria Math" w:cs="Times New Roman" w:hint="eastAsia"/>
            <w:sz w:val="20"/>
            <w:szCs w:val="20"/>
          </w:rPr>
          <m:t>≤</m:t>
        </m:r>
        <m:r>
          <m:rPr>
            <m:sty m:val="p"/>
          </m:rPr>
          <w:rPr>
            <w:rFonts w:ascii="Cambria Math" w:eastAsia="宋体" w:hAnsi="Cambria Math" w:cs="Times New Roman" w:hint="eastAsia"/>
            <w:sz w:val="20"/>
            <w:szCs w:val="20"/>
          </w:rPr>
          <m:t>M</m:t>
        </m:r>
        <m:r>
          <m:rPr>
            <m:sty m:val="p"/>
          </m:rPr>
          <w:rPr>
            <w:rFonts w:ascii="Cambria Math" w:eastAsia="宋体" w:hAnsi="Cambria Math" w:cs="Times New Roman" w:hint="eastAsia"/>
            <w:sz w:val="20"/>
            <w:szCs w:val="20"/>
          </w:rPr>
          <m:t>≤</m:t>
        </m:r>
      </m:oMath>
      <w:r w:rsidR="002F36E5">
        <w:rPr>
          <w:rFonts w:ascii="Times New Roman" w:eastAsia="宋体" w:hAnsi="Times New Roman" w:cs="Times New Roman" w:hint="eastAsia"/>
          <w:sz w:val="20"/>
          <w:szCs w:val="20"/>
        </w:rPr>
        <w:t xml:space="preserve">3, only setting "0" or "1" can not solve this scenario that some HARQ feedbacks are enabled and some HARQ feedbacks are disabled in the HARQ feedback bundling, i.e., if we set the "HARQ-ACK bundling flag" field in the DCI to 0, there will be 2 bits or 3 bits A/N need to be fed </w:t>
      </w:r>
      <w:r w:rsidR="00F746FF">
        <w:rPr>
          <w:rFonts w:ascii="Times New Roman" w:eastAsia="宋体" w:hAnsi="Times New Roman" w:cs="Times New Roman"/>
          <w:sz w:val="20"/>
          <w:szCs w:val="20"/>
        </w:rPr>
        <w:t>back, if</w:t>
      </w:r>
      <w:r w:rsidR="002F36E5">
        <w:rPr>
          <w:rFonts w:ascii="Times New Roman" w:eastAsia="宋体" w:hAnsi="Times New Roman" w:cs="Times New Roman" w:hint="eastAsia"/>
          <w:sz w:val="20"/>
          <w:szCs w:val="20"/>
        </w:rPr>
        <w:t xml:space="preserve"> we set the "HARQ-ACK bundling flag" field in the DCI to 1, UE will not be able to handle the logical AND operation of the HARQ feedback enabled process and the HARQ feedback disabled process. Therefore, the current specifications need to be enhanced to handle this issue.</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our </w:t>
      </w:r>
      <w:r w:rsidR="00CE260C">
        <w:rPr>
          <w:rFonts w:ascii="Times New Roman" w:eastAsia="宋体" w:hAnsi="Times New Roman" w:cs="Times New Roman"/>
          <w:sz w:val="20"/>
          <w:szCs w:val="20"/>
        </w:rPr>
        <w:t>view</w:t>
      </w:r>
      <w:r>
        <w:rPr>
          <w:rFonts w:ascii="Times New Roman" w:eastAsia="宋体" w:hAnsi="Times New Roman" w:cs="Times New Roman" w:hint="eastAsia"/>
          <w:sz w:val="20"/>
          <w:szCs w:val="20"/>
        </w:rPr>
        <w:t>, in order to obtain the gain from disabling HARQ feedback while achieving a unified design that minimizes the impact on the standard, UE will always report ACK for disabled HARQ process if needed. The ACK of the disabled HARQ process is transparent when it performs the AND operation with the NACK or ACK of the enabled HARQ process, and will not cause the base station to misjudge the reception status of the current process.</w:t>
      </w:r>
    </w:p>
    <w:p w:rsidR="006D6CE0" w:rsidRDefault="002F36E5">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sidR="006C7745">
        <w:rPr>
          <w:rFonts w:ascii="Times New Roman" w:eastAsia="宋体" w:hAnsi="Times New Roman"/>
          <w:b/>
          <w:i/>
          <w:sz w:val="20"/>
          <w:szCs w:val="20"/>
        </w:rPr>
        <w:t>4</w:t>
      </w:r>
      <w:r>
        <w:rPr>
          <w:rFonts w:ascii="Times New Roman" w:eastAsia="宋体" w:hAnsi="Times New Roman"/>
          <w:b/>
          <w:i/>
          <w:sz w:val="20"/>
          <w:szCs w:val="20"/>
        </w:rPr>
        <w:t>:</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eMTC </w:t>
      </w:r>
      <w:r>
        <w:rPr>
          <w:rFonts w:ascii="Times New Roman" w:eastAsia="宋体" w:hAnsi="Times New Roman"/>
          <w:bCs/>
          <w:i/>
          <w:sz w:val="20"/>
          <w:szCs w:val="20"/>
        </w:rPr>
        <w:t xml:space="preserve">HD-FDD scenario, </w:t>
      </w:r>
      <w:r>
        <w:rPr>
          <w:rFonts w:ascii="Times New Roman" w:eastAsia="宋体" w:hAnsi="Times New Roman" w:hint="eastAsia"/>
          <w:bCs/>
          <w:i/>
          <w:sz w:val="20"/>
          <w:szCs w:val="20"/>
        </w:rPr>
        <w:t>for HARQ-ACK bundling with logical AND operation, ACK is assumed for a feedback-disabled HARQ process.</w:t>
      </w:r>
    </w:p>
    <w:p w:rsidR="006D6CE0" w:rsidRDefault="002F36E5">
      <w:pPr>
        <w:pStyle w:val="2"/>
        <w:numPr>
          <w:ilvl w:val="1"/>
          <w:numId w:val="1"/>
        </w:numPr>
        <w:spacing w:before="0" w:after="0"/>
        <w:ind w:left="851" w:hanging="431"/>
        <w:rPr>
          <w:rFonts w:eastAsia="黑体" w:cs="Times New Roman"/>
          <w:b/>
          <w:bCs/>
          <w:sz w:val="24"/>
          <w:szCs w:val="28"/>
          <w:lang w:val="en-US"/>
        </w:rPr>
      </w:pPr>
      <w:r>
        <w:rPr>
          <w:rFonts w:eastAsia="黑体" w:cs="Times New Roman" w:hint="eastAsia"/>
          <w:b/>
          <w:bCs/>
          <w:sz w:val="24"/>
          <w:szCs w:val="28"/>
          <w:lang w:val="en-US"/>
        </w:rPr>
        <w:t>HARQ feedback for scheduling multiple TB</w:t>
      </w:r>
      <w:r w:rsidR="00E838CA">
        <w:rPr>
          <w:rFonts w:eastAsia="黑体" w:cs="Times New Roman"/>
          <w:b/>
          <w:bCs/>
          <w:sz w:val="24"/>
          <w:szCs w:val="28"/>
          <w:lang w:val="en-US"/>
        </w:rPr>
        <w:t>s</w:t>
      </w:r>
    </w:p>
    <w:p w:rsidR="006D6CE0" w:rsidRDefault="008D789B">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RAN1#110 meeting</w:t>
      </w:r>
      <w:r w:rsidR="002F36E5">
        <w:rPr>
          <w:rFonts w:ascii="Times New Roman" w:eastAsia="宋体" w:hAnsi="Times New Roman" w:cs="Times New Roman" w:hint="eastAsia"/>
          <w:sz w:val="20"/>
          <w:szCs w:val="20"/>
        </w:rPr>
        <w:t>, solutions for the case of transmitting HARQ feedback for a multi-TB block where some TBs (or TB bundles) have feedback enabled, while some others have feedback disabled w</w:t>
      </w:r>
      <w:r w:rsidR="002F36E5">
        <w:rPr>
          <w:rFonts w:ascii="Times New Roman" w:eastAsia="宋体" w:hAnsi="Times New Roman" w:cs="Times New Roman" w:hint="eastAsia"/>
          <w:sz w:val="20"/>
          <w:szCs w:val="20"/>
          <w:lang w:bidi="ar"/>
        </w:rPr>
        <w:t xml:space="preserve">ere discussed for further study. </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our </w:t>
      </w:r>
      <w:r>
        <w:rPr>
          <w:rFonts w:ascii="Times New Roman" w:eastAsia="宋体" w:hAnsi="Times New Roman" w:cs="Times New Roman"/>
          <w:sz w:val="20"/>
          <w:szCs w:val="20"/>
        </w:rPr>
        <w:t>consideration</w:t>
      </w:r>
      <w:r>
        <w:rPr>
          <w:rFonts w:ascii="Times New Roman" w:eastAsia="宋体" w:hAnsi="Times New Roman" w:cs="Times New Roman" w:hint="eastAsia"/>
          <w:sz w:val="20"/>
          <w:szCs w:val="20"/>
        </w:rPr>
        <w:t>, in order to obtain the gain from disabling HARQ feedback while achieving a unified design that minimizes the impact on the standard,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UE will always report ACK for disabled HARQ process if needed. Based on the eNB configuration for disabling HARQ feedback per HARQ process per UE, for a given HARQ process, the eNB will know that the UE will not transmit HARQ feedback on NPUSCH format 2 for NB-IoT or PUCCH for eMTC. Therefore, for a disabled HARQ process, when the initial or retransmission is completed, a new transmission or retransmission of the same HARQ process can be performed without </w:t>
      </w:r>
      <w:r>
        <w:rPr>
          <w:rFonts w:ascii="Times New Roman" w:eastAsia="宋体" w:hAnsi="Times New Roman" w:cs="Times New Roman"/>
          <w:sz w:val="20"/>
          <w:szCs w:val="20"/>
        </w:rPr>
        <w:t>waiting. Whereas</w:t>
      </w:r>
      <w:r>
        <w:rPr>
          <w:rFonts w:ascii="Times New Roman" w:eastAsia="宋体" w:hAnsi="Times New Roman" w:cs="Times New Roman" w:hint="eastAsia"/>
          <w:sz w:val="20"/>
          <w:szCs w:val="20"/>
        </w:rPr>
        <w:t xml:space="preserve"> for a enabled HARQ process, the expected eNB transmission behavior is to wait for the ACK/NACK of the current DL packet transmission before scheduling a new/</w:t>
      </w:r>
      <w:r>
        <w:rPr>
          <w:rFonts w:ascii="Times New Roman" w:eastAsia="宋体" w:hAnsi="Times New Roman" w:cs="Times New Roman"/>
          <w:sz w:val="20"/>
          <w:szCs w:val="20"/>
        </w:rPr>
        <w:t>retransmission, which</w:t>
      </w:r>
      <w:r>
        <w:rPr>
          <w:rFonts w:ascii="Times New Roman" w:eastAsia="宋体" w:hAnsi="Times New Roman" w:cs="Times New Roman" w:hint="eastAsia"/>
          <w:sz w:val="20"/>
          <w:szCs w:val="20"/>
        </w:rPr>
        <w:t xml:space="preserve"> is consistent with the current standard.</w:t>
      </w:r>
    </w:p>
    <w:p w:rsidR="006D6CE0" w:rsidRDefault="002F36E5">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sidR="002F4A23">
        <w:rPr>
          <w:rFonts w:ascii="Times New Roman" w:eastAsia="宋体" w:hAnsi="Times New Roman"/>
          <w:b/>
          <w:i/>
          <w:sz w:val="20"/>
          <w:szCs w:val="20"/>
        </w:rPr>
        <w:t>5</w:t>
      </w:r>
      <w:r>
        <w:rPr>
          <w:rFonts w:ascii="Times New Roman" w:eastAsia="宋体" w:hAnsi="Times New Roman"/>
          <w:b/>
          <w:i/>
          <w:sz w:val="20"/>
          <w:szCs w:val="20"/>
        </w:rPr>
        <w:t>:</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the </w:t>
      </w:r>
      <w:r>
        <w:rPr>
          <w:rFonts w:ascii="Times New Roman" w:eastAsia="宋体" w:hAnsi="Times New Roman"/>
          <w:bCs/>
          <w:i/>
          <w:sz w:val="20"/>
          <w:szCs w:val="20"/>
        </w:rPr>
        <w:t>HARQ feedback for scheduling multiple TB scenario</w:t>
      </w:r>
      <w:r>
        <w:rPr>
          <w:rFonts w:ascii="Times New Roman" w:eastAsia="宋体" w:hAnsi="Times New Roman" w:hint="eastAsia"/>
          <w:bCs/>
          <w:i/>
          <w:sz w:val="20"/>
          <w:szCs w:val="20"/>
        </w:rPr>
        <w:t xml:space="preserve">, ACK is assumed </w:t>
      </w:r>
      <w:r>
        <w:rPr>
          <w:rFonts w:ascii="Times New Roman" w:eastAsia="宋体" w:hAnsi="Times New Roman"/>
          <w:bCs/>
          <w:i/>
          <w:sz w:val="20"/>
          <w:szCs w:val="20"/>
        </w:rPr>
        <w:t xml:space="preserve">to mitigate the impact of introducing feedback-less HARQ processes on multi-TB scheduling for eMTC and NB-IoT. </w:t>
      </w:r>
    </w:p>
    <w:p w:rsidR="006D6CE0" w:rsidRDefault="002F36E5">
      <w:pPr>
        <w:pStyle w:val="2"/>
        <w:numPr>
          <w:ilvl w:val="1"/>
          <w:numId w:val="1"/>
        </w:numPr>
        <w:ind w:left="851" w:hanging="431"/>
        <w:rPr>
          <w:rFonts w:eastAsia="黑体" w:cs="Times New Roman"/>
          <w:b/>
          <w:bCs/>
          <w:sz w:val="24"/>
          <w:szCs w:val="28"/>
          <w:lang w:val="en-US"/>
        </w:rPr>
      </w:pPr>
      <w:r>
        <w:rPr>
          <w:rFonts w:eastAsia="黑体" w:cs="Times New Roman" w:hint="eastAsia"/>
          <w:b/>
          <w:bCs/>
          <w:sz w:val="24"/>
          <w:szCs w:val="28"/>
          <w:lang w:val="en-US"/>
        </w:rPr>
        <w:lastRenderedPageBreak/>
        <w:t>SPS PDSCH</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RAN1#110 meeting, disabling of HARQ feedback for SPS PDSCH was discussed for further study. In Rel-17 NR-NTN, following agreement has been agreed for HARQ feedback of SPS PDSCH:</w:t>
      </w:r>
    </w:p>
    <w:p w:rsidR="006D6CE0" w:rsidRDefault="002F36E5">
      <w:pPr>
        <w:shd w:val="clear" w:color="auto" w:fill="FFFFFF"/>
        <w:spacing w:beforeLines="50" w:before="120" w:afterLines="50" w:after="120" w:line="240" w:lineRule="auto"/>
        <w:ind w:leftChars="200" w:left="440"/>
        <w:rPr>
          <w:rFonts w:ascii="Times New Roman" w:eastAsia="serif" w:hAnsi="Times New Roman" w:cs="Times New Roman"/>
          <w:b/>
          <w:bCs/>
          <w:i/>
          <w:iCs/>
          <w:color w:val="000000"/>
          <w:sz w:val="20"/>
          <w:szCs w:val="20"/>
          <w:shd w:val="clear" w:color="auto" w:fill="00FF00"/>
          <w:lang w:bidi="ar"/>
        </w:rPr>
      </w:pPr>
      <w:r>
        <w:rPr>
          <w:rFonts w:ascii="Times New Roman" w:eastAsia="serif" w:hAnsi="Times New Roman" w:cs="Times New Roman"/>
          <w:b/>
          <w:bCs/>
          <w:i/>
          <w:iCs/>
          <w:color w:val="000000"/>
          <w:sz w:val="20"/>
          <w:szCs w:val="20"/>
          <w:shd w:val="clear" w:color="auto" w:fill="00FF00"/>
          <w:lang w:bidi="ar"/>
        </w:rPr>
        <w:t>Agreement</w:t>
      </w:r>
    </w:p>
    <w:p w:rsidR="006D6CE0" w:rsidRDefault="002F36E5">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For HARQ feedback of each SPS PDSCH, UE follows the per-process configuration of HARQ feedback enabled/disabled for the associated HARQ process, except for the first SPS PDSCH after activation if HARQ feedback for SPS activation is additionally enabled.</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NR-NTN, additional configuration for HARQ feedback of first SPS PDSCH was specified. With this feature, network is able to know whether the SPS configuration is successful via the feedback of first SPS PDSCH. The solution for NR-NTN can be directly reused in IoT-NTN to achieve the same feature.</w:t>
      </w:r>
    </w:p>
    <w:p w:rsidR="006D6CE0" w:rsidRDefault="002F36E5">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1C7A72">
        <w:rPr>
          <w:rFonts w:ascii="Times New Roman" w:eastAsia="宋体" w:hAnsi="Times New Roman"/>
          <w:b/>
          <w:i/>
          <w:sz w:val="20"/>
          <w:szCs w:val="20"/>
        </w:rPr>
        <w:t>6</w:t>
      </w:r>
      <w:r>
        <w:rPr>
          <w:rFonts w:ascii="Times New Roman" w:eastAsia="宋体" w:hAnsi="Times New Roman" w:hint="eastAsia"/>
          <w:b/>
          <w:i/>
          <w:sz w:val="20"/>
          <w:szCs w:val="20"/>
        </w:rPr>
        <w:t xml:space="preserve">: </w:t>
      </w:r>
      <w:r>
        <w:rPr>
          <w:rFonts w:ascii="Times New Roman" w:eastAsia="serif" w:hAnsi="Times New Roman" w:cs="Times New Roman"/>
          <w:i/>
          <w:iCs/>
          <w:color w:val="000000"/>
          <w:sz w:val="20"/>
          <w:szCs w:val="20"/>
          <w:shd w:val="clear" w:color="auto" w:fill="FFFFFF"/>
          <w:lang w:bidi="ar"/>
        </w:rPr>
        <w:t xml:space="preserve">For HARQ feedback of each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 xml:space="preserve">PDSCH, UE follows the per-process configuration of HARQ feedback enabled/disabled for the associated HARQ process, except for the first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PDSCH after activation if HARQ feedback for SPS activation is additionally enabled</w:t>
      </w:r>
      <w:r>
        <w:rPr>
          <w:rFonts w:ascii="Times New Roman" w:hAnsi="Times New Roman" w:cs="Times New Roman" w:hint="eastAsia"/>
          <w:i/>
          <w:sz w:val="20"/>
          <w:szCs w:val="20"/>
        </w:rPr>
        <w:t>.</w:t>
      </w:r>
    </w:p>
    <w:p w:rsidR="006D6CE0" w:rsidRDefault="002F36E5">
      <w:pPr>
        <w:pStyle w:val="2"/>
        <w:numPr>
          <w:ilvl w:val="1"/>
          <w:numId w:val="1"/>
        </w:numPr>
        <w:ind w:left="851" w:hanging="431"/>
        <w:rPr>
          <w:rFonts w:eastAsia="黑体" w:cs="Times New Roman"/>
          <w:b/>
          <w:bCs/>
          <w:sz w:val="24"/>
          <w:szCs w:val="28"/>
          <w:lang w:val="en-US"/>
        </w:rPr>
      </w:pPr>
      <w:r>
        <w:rPr>
          <w:rFonts w:eastAsia="黑体" w:cs="Times New Roman" w:hint="eastAsia"/>
          <w:b/>
          <w:bCs/>
          <w:sz w:val="24"/>
          <w:szCs w:val="28"/>
          <w:lang w:val="en-US"/>
        </w:rPr>
        <w:t>(N)PDSCH/(N)PDCCH scheduling restriction</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RAN1#110 meeting, the issue of (N)PDSCH/(N)PDCCH scheduling restriction has been identified and discussed for further study. In Rel-17 NR-NTN, following agreements have been agreed for PDSCH/PDCCH scheduling restriction:</w:t>
      </w:r>
    </w:p>
    <w:p w:rsidR="006D6CE0" w:rsidRDefault="002F36E5">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rsidR="006D6CE0" w:rsidRDefault="002F36E5">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6D6CE0" w:rsidRDefault="002F36E5">
      <w:pPr>
        <w:numPr>
          <w:ilvl w:val="0"/>
          <w:numId w:val="8"/>
        </w:numPr>
        <w:spacing w:beforeLines="50" w:before="120" w:afterLines="50" w:after="120" w:line="240" w:lineRule="auto"/>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Working assumption: X = T_proc,1</w:t>
      </w:r>
    </w:p>
    <w:p w:rsidR="006D6CE0" w:rsidRDefault="002F36E5">
      <w:pPr>
        <w:numPr>
          <w:ilvl w:val="0"/>
          <w:numId w:val="8"/>
        </w:numPr>
        <w:spacing w:beforeLines="50" w:before="120" w:afterLines="50" w:after="120" w:line="240" w:lineRule="auto"/>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FFS: Whether X should be changed to X = max(T_proc,1, K1) where K1 is the minimum k1 if it is configured, otherwise k1 = 0</w:t>
      </w:r>
    </w:p>
    <w:p w:rsidR="006D6CE0" w:rsidRDefault="002F36E5">
      <w:pPr>
        <w:numPr>
          <w:ilvl w:val="0"/>
          <w:numId w:val="8"/>
        </w:numPr>
        <w:spacing w:beforeLines="50" w:before="120" w:afterLines="50" w:after="120" w:line="240" w:lineRule="auto"/>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Note: The TB of the two PDSCHs can be either same or different</w:t>
      </w:r>
    </w:p>
    <w:p w:rsidR="006D6CE0" w:rsidRDefault="002F36E5">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rsidR="006D6CE0" w:rsidRDefault="002F36E5">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lang w:bidi="ar"/>
        </w:rPr>
        <w:t xml:space="preserve">The agreements above will leave enough time for UE to process the PDSCH before receiving new PDCCH. This restriction should also be supported in IoT-NTN. However, due to lower UE capability, the time </w:t>
      </w:r>
      <w:r>
        <w:rPr>
          <w:rFonts w:ascii="Times New Roman" w:eastAsia="宋体" w:hAnsi="Times New Roman" w:cs="Times New Roman" w:hint="eastAsia"/>
          <w:sz w:val="20"/>
          <w:szCs w:val="20"/>
        </w:rPr>
        <w:t xml:space="preserve">gap </w:t>
      </w:r>
      <w:r>
        <w:rPr>
          <w:rFonts w:ascii="Times New Roman" w:eastAsia="宋体" w:hAnsi="Times New Roman" w:cs="Times New Roman" w:hint="eastAsia"/>
          <w:sz w:val="20"/>
          <w:szCs w:val="20"/>
          <w:lang w:bidi="ar"/>
        </w:rPr>
        <w:t xml:space="preserve">X should be updated based on the processing delay of IoT devices. In legacy NB-IoT and eMTC, there is no definition of the processing time as in NR. </w:t>
      </w:r>
      <w:r>
        <w:rPr>
          <w:rFonts w:ascii="Times New Roman" w:eastAsia="宋体" w:hAnsi="Times New Roman" w:cs="Times New Roman" w:hint="eastAsia"/>
          <w:sz w:val="20"/>
          <w:szCs w:val="20"/>
        </w:rPr>
        <w:t>Instead, only HARQ-ACK delays after PDSCH and NPDSCH are defined, whose minimum values are 4 subframes and 12 DL subframes for eMTC and NB-IoT, respectively. Hence, the time gap between the end of a PDSCH and the start of next PDCCH should be modified accordingly.</w:t>
      </w:r>
    </w:p>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Moreover, w.r.t the description of DL HARQ process with disabled HARQ feedback in NB-IoT, we prefer option 1. The description of option 2 seems to prohibit all PDCCH monitoring. As a result, for a UE with multiple HARQ processes, if one HARQ process is decoding a PDSCH/NPDSCH, the other free HARQ process scheduling data cannot work either, which seems not reasonable and may decrease system data rate because of the missed detection of the other free HARQ process data.</w:t>
      </w:r>
    </w:p>
    <w:p w:rsidR="006D6CE0" w:rsidRDefault="002F36E5">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7</w:t>
      </w:r>
      <w:r>
        <w:rPr>
          <w:rFonts w:ascii="Times New Roman" w:eastAsia="宋体" w:hAnsi="Times New Roman" w:hint="eastAsia"/>
          <w:b/>
          <w:i/>
          <w:sz w:val="20"/>
          <w:szCs w:val="20"/>
        </w:rPr>
        <w:t xml:space="preserve">: </w:t>
      </w:r>
      <w:r>
        <w:rPr>
          <w:rFonts w:ascii="Times New Roman" w:hAnsi="Times New Roman" w:cs="Times New Roman" w:hint="eastAsia"/>
          <w:i/>
          <w:sz w:val="20"/>
          <w:szCs w:val="20"/>
        </w:rPr>
        <w:t>When HARQ feedback for a HARQ process is disabled, the UE is not expected to receive another MPDCCH carrying a DCI scheduling a PDSCH scheduled for the given HARQ process that starts until 4 subframes after the end of the reception of the last PDSCH for eMTC.</w:t>
      </w:r>
    </w:p>
    <w:p w:rsidR="006D6CE0" w:rsidRDefault="002F36E5">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lastRenderedPageBreak/>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8</w:t>
      </w:r>
      <w:r>
        <w:rPr>
          <w:rFonts w:ascii="Times New Roman" w:eastAsia="宋体" w:hAnsi="Times New Roman" w:hint="eastAsia"/>
          <w:b/>
          <w:i/>
          <w:sz w:val="20"/>
          <w:szCs w:val="20"/>
        </w:rPr>
        <w:t xml:space="preserve">: </w:t>
      </w:r>
      <w:r>
        <w:rPr>
          <w:rFonts w:ascii="Times New Roman" w:hAnsi="Times New Roman" w:cs="Times New Roman" w:hint="eastAsia"/>
          <w:i/>
          <w:sz w:val="20"/>
          <w:szCs w:val="20"/>
        </w:rPr>
        <w:t>When HARQ feedback for a HARQ process is disabled, the UE is not expected to receive another NPDCCH carrying a DCI scheduling a NPDSCH scheduled for the given HARQ process that starts until 12 DL subframes after the end of the reception of the last NPDSCH for NB-IoT.</w:t>
      </w:r>
    </w:p>
    <w:p w:rsidR="006D6CE0" w:rsidRPr="00C914F4" w:rsidRDefault="002F36E5">
      <w:pPr>
        <w:pStyle w:val="2"/>
        <w:numPr>
          <w:ilvl w:val="1"/>
          <w:numId w:val="1"/>
        </w:numPr>
        <w:ind w:left="851" w:hanging="431"/>
        <w:rPr>
          <w:rFonts w:eastAsia="黑体" w:cs="Times New Roman"/>
          <w:b/>
          <w:bCs/>
          <w:sz w:val="24"/>
          <w:szCs w:val="28"/>
          <w:lang w:val="en-US"/>
        </w:rPr>
      </w:pPr>
      <w:bookmarkStart w:id="3" w:name="_GoBack"/>
      <w:r w:rsidRPr="00C914F4">
        <w:rPr>
          <w:rFonts w:eastAsia="黑体" w:cs="Times New Roman"/>
          <w:b/>
          <w:bCs/>
          <w:sz w:val="24"/>
          <w:szCs w:val="28"/>
          <w:lang w:val="en-US"/>
        </w:rPr>
        <w:t>Others</w:t>
      </w:r>
    </w:p>
    <w:bookmarkEnd w:id="3"/>
    <w:p w:rsidR="006D6CE0" w:rsidRDefault="002F36E5">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NTN, the propagation delay can be large because of high altitude of the satellite. As a result, when HARQ feedback is enabled, UE may not able to receive the new scheduling information immediately after transmitting HARQ-ACK due to long RTT. In IoT communication, unnecessary NPDCCH/MPDCCH monitoring should be reduced as much as possible to reduce power consumption. Hence, UE should not monitor NPDCCH/MPDCCH for the given HARQ process until RTT after the </w:t>
      </w:r>
      <w:r>
        <w:rPr>
          <w:rFonts w:ascii="Times New Roman" w:eastAsia="宋体" w:hAnsi="Times New Roman" w:cs="Times New Roman"/>
          <w:sz w:val="20"/>
          <w:szCs w:val="20"/>
        </w:rPr>
        <w:t>transmission</w:t>
      </w:r>
      <w:r>
        <w:rPr>
          <w:rFonts w:ascii="Times New Roman" w:eastAsia="宋体" w:hAnsi="Times New Roman" w:cs="Times New Roman" w:hint="eastAsia"/>
          <w:sz w:val="20"/>
          <w:szCs w:val="20"/>
        </w:rPr>
        <w:t xml:space="preserve"> of HARQ-ACK when HARQ feedback is enabled since it is not possible to receive a new scheduling information during this period. </w:t>
      </w:r>
    </w:p>
    <w:p w:rsidR="006D6CE0" w:rsidRDefault="002F36E5">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9</w:t>
      </w:r>
      <w:r>
        <w:rPr>
          <w:rFonts w:ascii="Times New Roman" w:eastAsia="宋体" w:hAnsi="Times New Roman" w:hint="eastAsia"/>
          <w:b/>
          <w:i/>
          <w:sz w:val="20"/>
          <w:szCs w:val="20"/>
        </w:rPr>
        <w:t xml:space="preserve">: </w:t>
      </w:r>
      <w:r>
        <w:rPr>
          <w:rFonts w:ascii="Times New Roman" w:hAnsi="Times New Roman" w:cs="Times New Roman" w:hint="eastAsia"/>
          <w:i/>
          <w:sz w:val="20"/>
          <w:szCs w:val="20"/>
        </w:rPr>
        <w:t>When HARQ feedback for a HARQ process is enabled, the UE is not expected to receive another NPDCCH/MPDCCH carrying a DCI scheduling a NPDSCH/PDSCH scheduled for the given HARQ process that starts until round trip propagation delay after the end of the transmit of HARQ-ACK.</w:t>
      </w:r>
    </w:p>
    <w:p w:rsidR="006D6CE0" w:rsidRDefault="002F36E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6D6CE0" w:rsidRDefault="002F36E5">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hAnsi="Times New Roman" w:hint="eastAsia"/>
          <w:sz w:val="20"/>
          <w:szCs w:val="20"/>
        </w:rPr>
        <w:t xml:space="preserve">the solutions to </w:t>
      </w:r>
      <w:r>
        <w:rPr>
          <w:rFonts w:ascii="Times New Roman" w:eastAsia="宋体" w:hAnsi="Times New Roman" w:cs="Times New Roman" w:hint="eastAsia"/>
          <w:sz w:val="20"/>
          <w:szCs w:val="20"/>
        </w:rPr>
        <w:t>configure the HARQ feedback enabling/disabling</w:t>
      </w:r>
      <w:r>
        <w:rPr>
          <w:rFonts w:ascii="Times New Roman" w:hAnsi="Times New Roman" w:hint="eastAsia"/>
          <w:sz w:val="20"/>
          <w:szCs w:val="20"/>
        </w:rPr>
        <w:t xml:space="preserve"> and potential issues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conducted with following proposals and observations:</w:t>
      </w:r>
    </w:p>
    <w:p w:rsidR="006D6CE0" w:rsidRDefault="002F36E5">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 xml:space="preserve">Reuse the HARQ feedback disabling solution agreed in Rel-17 NR-NTN, </w:t>
      </w:r>
      <w:r>
        <w:rPr>
          <w:rFonts w:ascii="Times New Roman" w:eastAsia="宋体" w:hAnsi="Times New Roman"/>
          <w:bCs/>
          <w:i/>
          <w:sz w:val="20"/>
          <w:szCs w:val="20"/>
        </w:rPr>
        <w:t>i.e.</w:t>
      </w:r>
      <w:r>
        <w:rPr>
          <w:rFonts w:ascii="Times New Roman" w:eastAsia="宋体" w:hAnsi="Times New Roman" w:hint="eastAsia"/>
          <w:bCs/>
          <w:i/>
          <w:sz w:val="20"/>
          <w:szCs w:val="20"/>
        </w:rPr>
        <w:t>, enabling/disabling on HARQ feedback for downlink transmission is configurable per HARQ process via UE specific RRC signaling, as option 1.</w:t>
      </w:r>
    </w:p>
    <w:p w:rsidR="006D6CE0" w:rsidRDefault="002F36E5">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2</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For the case of single HARQ process for NB-IoT, whether to disable it or not depends on network configuration.</w:t>
      </w:r>
    </w:p>
    <w:p w:rsidR="006D6CE0" w:rsidRDefault="002F36E5">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The decision on whether and how many </w:t>
      </w:r>
      <w:r>
        <w:rPr>
          <w:rFonts w:ascii="Times New Roman" w:eastAsia="宋体" w:hAnsi="Times New Roman" w:hint="eastAsia"/>
          <w:bCs/>
          <w:i/>
          <w:sz w:val="20"/>
          <w:szCs w:val="20"/>
        </w:rPr>
        <w:t xml:space="preserve">HARQ processes </w:t>
      </w:r>
      <w:r>
        <w:rPr>
          <w:rFonts w:ascii="Times New Roman" w:eastAsia="宋体" w:hAnsi="Times New Roman"/>
          <w:bCs/>
          <w:i/>
          <w:sz w:val="20"/>
          <w:szCs w:val="20"/>
        </w:rPr>
        <w:t xml:space="preserve">are disabled </w:t>
      </w:r>
      <w:r>
        <w:rPr>
          <w:rFonts w:ascii="Times New Roman" w:eastAsia="宋体" w:hAnsi="Times New Roman" w:hint="eastAsia"/>
          <w:bCs/>
          <w:i/>
          <w:sz w:val="20"/>
          <w:szCs w:val="20"/>
        </w:rPr>
        <w:t>depends on network configuration.</w:t>
      </w:r>
    </w:p>
    <w:p w:rsidR="006D6CE0" w:rsidRDefault="002F36E5">
      <w:pPr>
        <w:numPr>
          <w:ilvl w:val="3"/>
          <w:numId w:val="0"/>
        </w:numPr>
        <w:spacing w:beforeLines="50" w:before="120" w:afterLines="50" w:after="120" w:line="240" w:lineRule="auto"/>
        <w:ind w:leftChars="200" w:left="440"/>
        <w:rPr>
          <w:rFonts w:ascii="Times New Roman" w:eastAsia="宋体" w:hAnsi="Times New Roman"/>
          <w:b/>
          <w:i/>
          <w:sz w:val="20"/>
          <w:szCs w:val="20"/>
        </w:rPr>
      </w:pPr>
      <w:r>
        <w:rPr>
          <w:rFonts w:ascii="Times New Roman" w:eastAsia="宋体" w:hAnsi="Times New Roman" w:hint="eastAsia"/>
          <w:b/>
          <w:i/>
          <w:sz w:val="20"/>
          <w:szCs w:val="20"/>
        </w:rPr>
        <w:t xml:space="preserve">Proposal </w:t>
      </w:r>
      <w:r w:rsidR="00777A2D">
        <w:rPr>
          <w:rFonts w:ascii="Times New Roman" w:eastAsia="宋体" w:hAnsi="Times New Roman"/>
          <w:b/>
          <w:i/>
          <w:sz w:val="20"/>
          <w:szCs w:val="20"/>
        </w:rPr>
        <w:t>4</w:t>
      </w:r>
      <w:r>
        <w:rPr>
          <w:rFonts w:ascii="Times New Roman" w:eastAsia="宋体" w:hAnsi="Times New Roman"/>
          <w:b/>
          <w:i/>
          <w:sz w:val="20"/>
          <w:szCs w:val="20"/>
        </w:rPr>
        <w:t>:</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eMTC </w:t>
      </w:r>
      <w:r>
        <w:rPr>
          <w:rFonts w:ascii="Times New Roman" w:eastAsia="宋体" w:hAnsi="Times New Roman"/>
          <w:bCs/>
          <w:i/>
          <w:sz w:val="20"/>
          <w:szCs w:val="20"/>
        </w:rPr>
        <w:t xml:space="preserve">HD-FDD scenario, </w:t>
      </w:r>
      <w:r>
        <w:rPr>
          <w:rFonts w:ascii="Times New Roman" w:eastAsia="宋体" w:hAnsi="Times New Roman" w:hint="eastAsia"/>
          <w:bCs/>
          <w:i/>
          <w:sz w:val="20"/>
          <w:szCs w:val="20"/>
        </w:rPr>
        <w:t>for HARQ-ACK bundling with logical AND operation, ACK is assumed for a feedback-disabled HARQ process.</w:t>
      </w:r>
    </w:p>
    <w:p w:rsidR="006D6CE0" w:rsidRDefault="002F36E5">
      <w:pPr>
        <w:numPr>
          <w:ilvl w:val="3"/>
          <w:numId w:val="0"/>
        </w:numPr>
        <w:spacing w:beforeLines="50" w:before="120" w:afterLines="50" w:after="120" w:line="240" w:lineRule="auto"/>
        <w:ind w:leftChars="200" w:left="440"/>
        <w:rPr>
          <w:rFonts w:ascii="Times New Roman" w:hAnsi="Times New Roman"/>
          <w:sz w:val="20"/>
          <w:szCs w:val="20"/>
        </w:rPr>
      </w:pPr>
      <w:r>
        <w:rPr>
          <w:rFonts w:ascii="Times New Roman" w:eastAsia="宋体" w:hAnsi="Times New Roman" w:hint="eastAsia"/>
          <w:b/>
          <w:i/>
          <w:sz w:val="20"/>
          <w:szCs w:val="20"/>
        </w:rPr>
        <w:t xml:space="preserve">Proposal </w:t>
      </w:r>
      <w:r w:rsidR="00777A2D">
        <w:rPr>
          <w:rFonts w:ascii="Times New Roman" w:eastAsia="宋体" w:hAnsi="Times New Roman"/>
          <w:b/>
          <w:i/>
          <w:sz w:val="20"/>
          <w:szCs w:val="20"/>
        </w:rPr>
        <w:t>5</w:t>
      </w:r>
      <w:r>
        <w:rPr>
          <w:rFonts w:ascii="Times New Roman" w:eastAsia="宋体" w:hAnsi="Times New Roman"/>
          <w:b/>
          <w:i/>
          <w:sz w:val="20"/>
          <w:szCs w:val="20"/>
        </w:rPr>
        <w:t>:</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the </w:t>
      </w:r>
      <w:r>
        <w:rPr>
          <w:rFonts w:ascii="Times New Roman" w:eastAsia="宋体" w:hAnsi="Times New Roman"/>
          <w:bCs/>
          <w:i/>
          <w:sz w:val="20"/>
          <w:szCs w:val="20"/>
        </w:rPr>
        <w:t>HARQ feedback for scheduling multiple TB scenario</w:t>
      </w:r>
      <w:r>
        <w:rPr>
          <w:rFonts w:ascii="Times New Roman" w:eastAsia="宋体" w:hAnsi="Times New Roman" w:hint="eastAsia"/>
          <w:bCs/>
          <w:i/>
          <w:sz w:val="20"/>
          <w:szCs w:val="20"/>
        </w:rPr>
        <w:t xml:space="preserve">, ACK is assumed </w:t>
      </w:r>
      <w:r>
        <w:rPr>
          <w:rFonts w:ascii="Times New Roman" w:eastAsia="宋体" w:hAnsi="Times New Roman"/>
          <w:bCs/>
          <w:i/>
          <w:sz w:val="20"/>
          <w:szCs w:val="20"/>
        </w:rPr>
        <w:t>to mitigate the impact of introducing feedback-less HARQ processes on multi-TB scheduling for eMTC and NB-IoT.</w:t>
      </w:r>
      <w:r>
        <w:rPr>
          <w:rFonts w:ascii="Times New Roman" w:hAnsi="Times New Roman" w:hint="eastAsia"/>
          <w:sz w:val="20"/>
          <w:szCs w:val="20"/>
        </w:rPr>
        <w:t xml:space="preserve"> </w:t>
      </w:r>
    </w:p>
    <w:p w:rsidR="006D6CE0" w:rsidRDefault="002F36E5">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6</w:t>
      </w:r>
      <w:r>
        <w:rPr>
          <w:rFonts w:ascii="Times New Roman" w:eastAsia="宋体" w:hAnsi="Times New Roman" w:hint="eastAsia"/>
          <w:b/>
          <w:i/>
          <w:sz w:val="20"/>
          <w:szCs w:val="20"/>
        </w:rPr>
        <w:t xml:space="preserve">: </w:t>
      </w:r>
      <w:r>
        <w:rPr>
          <w:rFonts w:ascii="Times New Roman" w:eastAsia="serif" w:hAnsi="Times New Roman" w:cs="Times New Roman"/>
          <w:i/>
          <w:iCs/>
          <w:color w:val="000000"/>
          <w:sz w:val="20"/>
          <w:szCs w:val="20"/>
          <w:shd w:val="clear" w:color="auto" w:fill="FFFFFF"/>
          <w:lang w:bidi="ar"/>
        </w:rPr>
        <w:t xml:space="preserve">For HARQ feedback of each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 xml:space="preserve">PDSCH, UE follows the per-process configuration of HARQ feedback enabled/disabled for the associated HARQ process, except for the first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PDSCH after activation if HARQ feedback for SPS activation is additionally enabled</w:t>
      </w:r>
      <w:r>
        <w:rPr>
          <w:rFonts w:ascii="Times New Roman" w:hAnsi="Times New Roman" w:cs="Times New Roman" w:hint="eastAsia"/>
          <w:i/>
          <w:sz w:val="20"/>
          <w:szCs w:val="20"/>
        </w:rPr>
        <w:t>.</w:t>
      </w:r>
    </w:p>
    <w:p w:rsidR="006D6CE0" w:rsidRDefault="002F36E5">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7</w:t>
      </w:r>
      <w:r>
        <w:rPr>
          <w:rFonts w:ascii="Times New Roman" w:eastAsia="宋体" w:hAnsi="Times New Roman" w:hint="eastAsia"/>
          <w:b/>
          <w:i/>
          <w:sz w:val="20"/>
          <w:szCs w:val="20"/>
        </w:rPr>
        <w:t xml:space="preserve">: </w:t>
      </w:r>
      <w:r>
        <w:rPr>
          <w:rFonts w:ascii="Times New Roman" w:hAnsi="Times New Roman" w:cs="Times New Roman" w:hint="eastAsia"/>
          <w:i/>
          <w:sz w:val="20"/>
          <w:szCs w:val="20"/>
        </w:rPr>
        <w:t>When HARQ feedback for a HARQ process is disabled, the UE is not expected to receive another MPDCCH carrying a DCI scheduling a PDSCH scheduled for the given HARQ process that starts until 4 subframes after the end of the reception of the last PDSCH for eMTC.</w:t>
      </w:r>
    </w:p>
    <w:p w:rsidR="006D6CE0" w:rsidRDefault="002F36E5">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8</w:t>
      </w:r>
      <w:r>
        <w:rPr>
          <w:rFonts w:ascii="Times New Roman" w:eastAsia="宋体" w:hAnsi="Times New Roman" w:hint="eastAsia"/>
          <w:b/>
          <w:i/>
          <w:sz w:val="20"/>
          <w:szCs w:val="20"/>
        </w:rPr>
        <w:t xml:space="preserve">: </w:t>
      </w:r>
      <w:r>
        <w:rPr>
          <w:rFonts w:ascii="Times New Roman" w:hAnsi="Times New Roman" w:cs="Times New Roman" w:hint="eastAsia"/>
          <w:i/>
          <w:sz w:val="20"/>
          <w:szCs w:val="20"/>
        </w:rPr>
        <w:t>When HARQ feedback for a HARQ process is disabled, the UE is not expected to receive another NPDCCH carrying a DCI scheduling a NPDSCH scheduled for the given HARQ process that starts until 12 DL subframes after the end of the reception of the last NPDSCH for NB-IoT.</w:t>
      </w:r>
    </w:p>
    <w:p w:rsidR="006D6CE0" w:rsidRDefault="002F36E5">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777A2D">
        <w:rPr>
          <w:rFonts w:ascii="Times New Roman" w:eastAsia="宋体" w:hAnsi="Times New Roman"/>
          <w:b/>
          <w:i/>
          <w:sz w:val="20"/>
          <w:szCs w:val="20"/>
        </w:rPr>
        <w:t>9</w:t>
      </w:r>
      <w:r>
        <w:rPr>
          <w:rFonts w:ascii="Times New Roman" w:eastAsia="宋体" w:hAnsi="Times New Roman" w:hint="eastAsia"/>
          <w:b/>
          <w:i/>
          <w:sz w:val="20"/>
          <w:szCs w:val="20"/>
        </w:rPr>
        <w:t xml:space="preserve">: </w:t>
      </w:r>
      <w:r>
        <w:rPr>
          <w:rFonts w:ascii="Times New Roman" w:hAnsi="Times New Roman" w:cs="Times New Roman" w:hint="eastAsia"/>
          <w:i/>
          <w:sz w:val="20"/>
          <w:szCs w:val="20"/>
        </w:rPr>
        <w:t>When HARQ feedback for a HARQ process is enabled, the UE is not expected to receive another NPDCCH/MPDCCH carrying a DCI scheduling a NPDSCH/PDSCH scheduled for the given HARQ process that starts until round trip propagation delay after the end of the transmit of HARQ-ACK.</w:t>
      </w:r>
    </w:p>
    <w:p w:rsidR="006D6CE0" w:rsidRDefault="002F36E5">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6D6CE0" w:rsidRDefault="002F36E5">
      <w:pPr>
        <w:pStyle w:val="ListParagraph1"/>
        <w:numPr>
          <w:ilvl w:val="0"/>
          <w:numId w:val="9"/>
        </w:numPr>
        <w:spacing w:after="0" w:line="240" w:lineRule="auto"/>
        <w:ind w:left="505" w:hanging="505"/>
        <w:rPr>
          <w:rFonts w:ascii="Times New Roman" w:hAnsi="Times New Roman"/>
          <w:sz w:val="20"/>
          <w:szCs w:val="20"/>
        </w:rPr>
      </w:pPr>
      <w:bookmarkStart w:id="4" w:name="_Ref32552"/>
      <w:r>
        <w:rPr>
          <w:rFonts w:ascii="Times New Roman" w:hAnsi="Times New Roman" w:hint="eastAsia"/>
          <w:sz w:val="20"/>
          <w:szCs w:val="20"/>
        </w:rPr>
        <w:t>RP-213596 New WID on IoT NTN enhancements,</w:t>
      </w:r>
      <w:r>
        <w:rPr>
          <w:rFonts w:ascii="Times New Roman" w:hAnsi="Times New Roman"/>
          <w:sz w:val="20"/>
          <w:szCs w:val="20"/>
        </w:rPr>
        <w:t xml:space="preserve"> RAN#</w:t>
      </w:r>
      <w:r>
        <w:rPr>
          <w:rFonts w:ascii="Times New Roman" w:hAnsi="Times New Roman" w:hint="eastAsia"/>
          <w:sz w:val="20"/>
          <w:szCs w:val="20"/>
        </w:rPr>
        <w:t>94e</w:t>
      </w:r>
      <w:bookmarkEnd w:id="4"/>
    </w:p>
    <w:p w:rsidR="006D6CE0" w:rsidRDefault="002F36E5">
      <w:pPr>
        <w:pStyle w:val="ListParagraph1"/>
        <w:numPr>
          <w:ilvl w:val="0"/>
          <w:numId w:val="9"/>
        </w:numPr>
        <w:spacing w:after="0" w:line="240" w:lineRule="auto"/>
        <w:ind w:left="505" w:hanging="505"/>
        <w:rPr>
          <w:rFonts w:ascii="Times New Roman" w:hAnsi="Times New Roman"/>
          <w:sz w:val="20"/>
          <w:szCs w:val="20"/>
        </w:rPr>
      </w:pPr>
      <w:bookmarkStart w:id="5" w:name="_Ref1095"/>
      <w:r>
        <w:rPr>
          <w:rFonts w:ascii="Times New Roman" w:hAnsi="Times New Roman" w:hint="eastAsia"/>
          <w:sz w:val="20"/>
          <w:szCs w:val="20"/>
        </w:rPr>
        <w:t>R1-2112890 3GPP TSG-RAN WG1 Agreements under 8.4 up to eMeeting RAN1#107-e,</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107e</w:t>
      </w:r>
      <w:bookmarkEnd w:id="5"/>
    </w:p>
    <w:p w:rsidR="006D6CE0" w:rsidRDefault="002F36E5">
      <w:pPr>
        <w:pStyle w:val="ListParagraph1"/>
        <w:numPr>
          <w:ilvl w:val="0"/>
          <w:numId w:val="9"/>
        </w:numPr>
        <w:ind w:left="505" w:hanging="505"/>
        <w:rPr>
          <w:rFonts w:ascii="Times New Roman" w:hAnsi="Times New Roman"/>
          <w:sz w:val="20"/>
          <w:szCs w:val="20"/>
        </w:rPr>
      </w:pPr>
      <w:r>
        <w:rPr>
          <w:rFonts w:ascii="Times New Roman" w:hAnsi="Times New Roman" w:hint="eastAsia"/>
          <w:sz w:val="20"/>
          <w:szCs w:val="20"/>
        </w:rPr>
        <w:t>R1-2206022 3GPP TSG-RAN WG1 Discussion on disabling of HARQ feedback for IoT-NTN</w:t>
      </w:r>
    </w:p>
    <w:p w:rsidR="006D6CE0" w:rsidRDefault="002F36E5">
      <w:pPr>
        <w:pStyle w:val="ListParagraph1"/>
        <w:numPr>
          <w:ilvl w:val="0"/>
          <w:numId w:val="9"/>
        </w:numPr>
        <w:spacing w:after="0" w:line="240" w:lineRule="auto"/>
        <w:ind w:left="505" w:hanging="505"/>
        <w:rPr>
          <w:rFonts w:ascii="Times New Roman" w:hAnsi="Times New Roman"/>
          <w:sz w:val="20"/>
          <w:szCs w:val="20"/>
        </w:rPr>
      </w:pPr>
      <w:r>
        <w:rPr>
          <w:rFonts w:ascii="Times New Roman" w:hAnsi="Times New Roman" w:hint="eastAsia"/>
          <w:sz w:val="20"/>
          <w:szCs w:val="20"/>
        </w:rPr>
        <w:lastRenderedPageBreak/>
        <w:t xml:space="preserve">3GPP TSG-RAN WG1 </w:t>
      </w:r>
      <w:r>
        <w:rPr>
          <w:rFonts w:ascii="Times New Roman" w:hAnsi="Times New Roman" w:hint="eastAsia"/>
          <w:sz w:val="20"/>
        </w:rPr>
        <w:t>Draft Report of 3GPP TSG RAN WG1 #110 v0.2.0</w:t>
      </w:r>
    </w:p>
    <w:p w:rsidR="006D6CE0" w:rsidRDefault="006D6CE0">
      <w:pPr>
        <w:pStyle w:val="ListParagraph1"/>
        <w:spacing w:after="0" w:line="240" w:lineRule="auto"/>
        <w:ind w:left="0"/>
        <w:rPr>
          <w:rFonts w:ascii="Times New Roman" w:hAnsi="Times New Roman"/>
          <w:sz w:val="20"/>
          <w:szCs w:val="20"/>
        </w:rPr>
      </w:pPr>
    </w:p>
    <w:p w:rsidR="006D6CE0" w:rsidRDefault="006D6CE0">
      <w:pPr>
        <w:pStyle w:val="ListParagraph1"/>
        <w:numPr>
          <w:ilvl w:val="255"/>
          <w:numId w:val="0"/>
        </w:numPr>
        <w:spacing w:after="0" w:line="20" w:lineRule="exact"/>
        <w:ind w:left="720"/>
        <w:rPr>
          <w:rFonts w:ascii="Times New Roman" w:hAnsi="Times New Roman"/>
          <w:sz w:val="20"/>
          <w:szCs w:val="20"/>
        </w:rPr>
      </w:pPr>
    </w:p>
    <w:sectPr w:rsidR="006D6C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DA4" w:rsidRDefault="00587DA4">
      <w:pPr>
        <w:spacing w:line="240" w:lineRule="auto"/>
      </w:pPr>
      <w:r>
        <w:separator/>
      </w:r>
    </w:p>
  </w:endnote>
  <w:endnote w:type="continuationSeparator" w:id="0">
    <w:p w:rsidR="00587DA4" w:rsidRDefault="00587D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rif">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DA4" w:rsidRDefault="00587DA4">
      <w:pPr>
        <w:spacing w:after="0"/>
      </w:pPr>
      <w:r>
        <w:separator/>
      </w:r>
    </w:p>
  </w:footnote>
  <w:footnote w:type="continuationSeparator" w:id="0">
    <w:p w:rsidR="00587DA4" w:rsidRDefault="00587D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DBEC91"/>
    <w:multiLevelType w:val="multilevel"/>
    <w:tmpl w:val="AADBEC9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C4AFAB4D"/>
    <w:multiLevelType w:val="singleLevel"/>
    <w:tmpl w:val="C4AFAB4D"/>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869E093"/>
    <w:multiLevelType w:val="singleLevel"/>
    <w:tmpl w:val="F869E093"/>
    <w:lvl w:ilvl="0">
      <w:start w:val="1"/>
      <w:numFmt w:val="bullet"/>
      <w:lvlText w:val="−"/>
      <w:lvlJc w:val="left"/>
      <w:pPr>
        <w:ind w:left="420" w:hanging="420"/>
      </w:pPr>
      <w:rPr>
        <w:rFonts w:ascii="Arial" w:hAnsi="Arial" w:cs="Arial" w:hint="default"/>
      </w:rPr>
    </w:lvl>
  </w:abstractNum>
  <w:abstractNum w:abstractNumId="3"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1"/>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3FA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871"/>
    <w:rsid w:val="00167C34"/>
    <w:rsid w:val="001703CB"/>
    <w:rsid w:val="00170CD6"/>
    <w:rsid w:val="0017178D"/>
    <w:rsid w:val="00172A27"/>
    <w:rsid w:val="00173343"/>
    <w:rsid w:val="00173624"/>
    <w:rsid w:val="00174EE5"/>
    <w:rsid w:val="00176371"/>
    <w:rsid w:val="00176496"/>
    <w:rsid w:val="001767AB"/>
    <w:rsid w:val="00176CE4"/>
    <w:rsid w:val="00177052"/>
    <w:rsid w:val="0018253F"/>
    <w:rsid w:val="00183086"/>
    <w:rsid w:val="0018409B"/>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4AE"/>
    <w:rsid w:val="001C4B12"/>
    <w:rsid w:val="001C53EA"/>
    <w:rsid w:val="001C7A72"/>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3B34"/>
    <w:rsid w:val="00205322"/>
    <w:rsid w:val="00206259"/>
    <w:rsid w:val="00211192"/>
    <w:rsid w:val="00213BC3"/>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2E7B"/>
    <w:rsid w:val="002A3174"/>
    <w:rsid w:val="002A40A7"/>
    <w:rsid w:val="002A431F"/>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5BB8"/>
    <w:rsid w:val="002C5C2D"/>
    <w:rsid w:val="002C636A"/>
    <w:rsid w:val="002C7437"/>
    <w:rsid w:val="002D0710"/>
    <w:rsid w:val="002D109F"/>
    <w:rsid w:val="002D1FE0"/>
    <w:rsid w:val="002D35C9"/>
    <w:rsid w:val="002D3617"/>
    <w:rsid w:val="002D3E6A"/>
    <w:rsid w:val="002D4D12"/>
    <w:rsid w:val="002D4F8A"/>
    <w:rsid w:val="002D6C7D"/>
    <w:rsid w:val="002D74A4"/>
    <w:rsid w:val="002E0B56"/>
    <w:rsid w:val="002E0C9D"/>
    <w:rsid w:val="002E2D9B"/>
    <w:rsid w:val="002E3656"/>
    <w:rsid w:val="002E5475"/>
    <w:rsid w:val="002E5A0C"/>
    <w:rsid w:val="002E5F90"/>
    <w:rsid w:val="002E637E"/>
    <w:rsid w:val="002E6858"/>
    <w:rsid w:val="002E7D93"/>
    <w:rsid w:val="002E7F8A"/>
    <w:rsid w:val="002E7F97"/>
    <w:rsid w:val="002F0209"/>
    <w:rsid w:val="002F16C4"/>
    <w:rsid w:val="002F2A52"/>
    <w:rsid w:val="002F36E5"/>
    <w:rsid w:val="002F37E8"/>
    <w:rsid w:val="002F4A23"/>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D77D6"/>
    <w:rsid w:val="003E10DC"/>
    <w:rsid w:val="003E21E9"/>
    <w:rsid w:val="003E239D"/>
    <w:rsid w:val="003E4FCA"/>
    <w:rsid w:val="003E4FD3"/>
    <w:rsid w:val="003E7670"/>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87DA4"/>
    <w:rsid w:val="00591874"/>
    <w:rsid w:val="00591995"/>
    <w:rsid w:val="00591A9A"/>
    <w:rsid w:val="00591AFC"/>
    <w:rsid w:val="00593A13"/>
    <w:rsid w:val="005942C9"/>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2383"/>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A2D"/>
    <w:rsid w:val="00777FE7"/>
    <w:rsid w:val="007824B2"/>
    <w:rsid w:val="0078257B"/>
    <w:rsid w:val="00782A64"/>
    <w:rsid w:val="0078436A"/>
    <w:rsid w:val="0078446D"/>
    <w:rsid w:val="0078687B"/>
    <w:rsid w:val="00786908"/>
    <w:rsid w:val="0078717C"/>
    <w:rsid w:val="0078758C"/>
    <w:rsid w:val="007907A9"/>
    <w:rsid w:val="00790841"/>
    <w:rsid w:val="007918C5"/>
    <w:rsid w:val="00792482"/>
    <w:rsid w:val="007934C2"/>
    <w:rsid w:val="00794C8F"/>
    <w:rsid w:val="00795067"/>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0C1E"/>
    <w:rsid w:val="00931B4D"/>
    <w:rsid w:val="00933578"/>
    <w:rsid w:val="00933AAB"/>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29C"/>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2A62"/>
    <w:rsid w:val="00A32D0C"/>
    <w:rsid w:val="00A3478F"/>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0FC9"/>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013B"/>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34B07"/>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914F4"/>
    <w:rsid w:val="00CA0D4F"/>
    <w:rsid w:val="00CA1224"/>
    <w:rsid w:val="00CA1397"/>
    <w:rsid w:val="00CA519E"/>
    <w:rsid w:val="00CA7DE4"/>
    <w:rsid w:val="00CB165F"/>
    <w:rsid w:val="00CB18A2"/>
    <w:rsid w:val="00CB2FE4"/>
    <w:rsid w:val="00CB3621"/>
    <w:rsid w:val="00CB4A68"/>
    <w:rsid w:val="00CB67DC"/>
    <w:rsid w:val="00CC0C01"/>
    <w:rsid w:val="00CC1380"/>
    <w:rsid w:val="00CC4052"/>
    <w:rsid w:val="00CC47FF"/>
    <w:rsid w:val="00CC4B2C"/>
    <w:rsid w:val="00CC7D91"/>
    <w:rsid w:val="00CD0028"/>
    <w:rsid w:val="00CD08DD"/>
    <w:rsid w:val="00CD1A96"/>
    <w:rsid w:val="00CD2824"/>
    <w:rsid w:val="00CD2BB2"/>
    <w:rsid w:val="00CD338F"/>
    <w:rsid w:val="00CD6203"/>
    <w:rsid w:val="00CD7641"/>
    <w:rsid w:val="00CE05DB"/>
    <w:rsid w:val="00CE0777"/>
    <w:rsid w:val="00CE1474"/>
    <w:rsid w:val="00CE2393"/>
    <w:rsid w:val="00CE260C"/>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2E57"/>
    <w:rsid w:val="00D03028"/>
    <w:rsid w:val="00D030AA"/>
    <w:rsid w:val="00D05292"/>
    <w:rsid w:val="00D05363"/>
    <w:rsid w:val="00D05C99"/>
    <w:rsid w:val="00D07E6C"/>
    <w:rsid w:val="00D125AC"/>
    <w:rsid w:val="00D12F91"/>
    <w:rsid w:val="00D13E2D"/>
    <w:rsid w:val="00D14AAA"/>
    <w:rsid w:val="00D155DC"/>
    <w:rsid w:val="00D15C7E"/>
    <w:rsid w:val="00D17DBC"/>
    <w:rsid w:val="00D20013"/>
    <w:rsid w:val="00D20D5C"/>
    <w:rsid w:val="00D21EDC"/>
    <w:rsid w:val="00D23502"/>
    <w:rsid w:val="00D237D5"/>
    <w:rsid w:val="00D242BD"/>
    <w:rsid w:val="00D2545E"/>
    <w:rsid w:val="00D256F9"/>
    <w:rsid w:val="00D263F3"/>
    <w:rsid w:val="00D26A93"/>
    <w:rsid w:val="00D2714E"/>
    <w:rsid w:val="00D3008B"/>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35A82"/>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38CA"/>
    <w:rsid w:val="00E85A70"/>
    <w:rsid w:val="00E86903"/>
    <w:rsid w:val="00E872FE"/>
    <w:rsid w:val="00E90217"/>
    <w:rsid w:val="00E907F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17076"/>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6FF"/>
    <w:rsid w:val="00F74B61"/>
    <w:rsid w:val="00F75B11"/>
    <w:rsid w:val="00F75C6B"/>
    <w:rsid w:val="00F76701"/>
    <w:rsid w:val="00F77659"/>
    <w:rsid w:val="00F80854"/>
    <w:rsid w:val="00F8176E"/>
    <w:rsid w:val="00F82B22"/>
    <w:rsid w:val="00F82D97"/>
    <w:rsid w:val="00F82E5E"/>
    <w:rsid w:val="00F849D0"/>
    <w:rsid w:val="00F84EC6"/>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0F49"/>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686D89"/>
    <w:rsid w:val="04BC240B"/>
    <w:rsid w:val="04BE3BD3"/>
    <w:rsid w:val="04E57349"/>
    <w:rsid w:val="058F5409"/>
    <w:rsid w:val="05A51DB9"/>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A13584"/>
    <w:rsid w:val="100573B4"/>
    <w:rsid w:val="10BE71C3"/>
    <w:rsid w:val="10F61CD8"/>
    <w:rsid w:val="10FB4A31"/>
    <w:rsid w:val="11337EFB"/>
    <w:rsid w:val="115713ED"/>
    <w:rsid w:val="11600A16"/>
    <w:rsid w:val="11707147"/>
    <w:rsid w:val="11761878"/>
    <w:rsid w:val="118A635C"/>
    <w:rsid w:val="11D34FC9"/>
    <w:rsid w:val="11F5274F"/>
    <w:rsid w:val="124203BC"/>
    <w:rsid w:val="12456039"/>
    <w:rsid w:val="12606FE4"/>
    <w:rsid w:val="126C5962"/>
    <w:rsid w:val="1297438E"/>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2338EA"/>
    <w:rsid w:val="1A680331"/>
    <w:rsid w:val="1A7C2890"/>
    <w:rsid w:val="1AA846CB"/>
    <w:rsid w:val="1AA8733D"/>
    <w:rsid w:val="1B0051DB"/>
    <w:rsid w:val="1B1D327A"/>
    <w:rsid w:val="1B324FB0"/>
    <w:rsid w:val="1B5653C7"/>
    <w:rsid w:val="1B807109"/>
    <w:rsid w:val="1B966D58"/>
    <w:rsid w:val="1B975ED5"/>
    <w:rsid w:val="1BAF2B27"/>
    <w:rsid w:val="1C0A6142"/>
    <w:rsid w:val="1C594598"/>
    <w:rsid w:val="1C6D214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8D01A9"/>
    <w:rsid w:val="25B52C71"/>
    <w:rsid w:val="25D474A1"/>
    <w:rsid w:val="25E01AE5"/>
    <w:rsid w:val="260C0C73"/>
    <w:rsid w:val="263458F1"/>
    <w:rsid w:val="265B10B1"/>
    <w:rsid w:val="2660010E"/>
    <w:rsid w:val="26AF4890"/>
    <w:rsid w:val="26C679EB"/>
    <w:rsid w:val="26EB3598"/>
    <w:rsid w:val="271B442E"/>
    <w:rsid w:val="27240F9C"/>
    <w:rsid w:val="272B664F"/>
    <w:rsid w:val="272D09AF"/>
    <w:rsid w:val="27862223"/>
    <w:rsid w:val="279327F5"/>
    <w:rsid w:val="27A31EDE"/>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753F5"/>
    <w:rsid w:val="2E3F6FF1"/>
    <w:rsid w:val="2E4E27CA"/>
    <w:rsid w:val="2E5D0DE4"/>
    <w:rsid w:val="2E642F68"/>
    <w:rsid w:val="2EB71E65"/>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C77D1B"/>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2A6487"/>
    <w:rsid w:val="3C5735CB"/>
    <w:rsid w:val="3C8A3F43"/>
    <w:rsid w:val="3C9733E7"/>
    <w:rsid w:val="3CFE08DB"/>
    <w:rsid w:val="3D6056F8"/>
    <w:rsid w:val="3D673F80"/>
    <w:rsid w:val="3D690B94"/>
    <w:rsid w:val="3D7A7192"/>
    <w:rsid w:val="3DB138D5"/>
    <w:rsid w:val="3DB40E70"/>
    <w:rsid w:val="3E2E0A25"/>
    <w:rsid w:val="3E3B24BF"/>
    <w:rsid w:val="3E64265A"/>
    <w:rsid w:val="3E6C3FAF"/>
    <w:rsid w:val="3E8E0FDF"/>
    <w:rsid w:val="3E93172F"/>
    <w:rsid w:val="3EA51E2C"/>
    <w:rsid w:val="3EAC040D"/>
    <w:rsid w:val="3EE50717"/>
    <w:rsid w:val="3EF34B07"/>
    <w:rsid w:val="3F1617B9"/>
    <w:rsid w:val="3F72094D"/>
    <w:rsid w:val="3F897CE4"/>
    <w:rsid w:val="3FAD777A"/>
    <w:rsid w:val="3FC52740"/>
    <w:rsid w:val="3FD1085F"/>
    <w:rsid w:val="3FDA4409"/>
    <w:rsid w:val="3FF13A3F"/>
    <w:rsid w:val="40117EB2"/>
    <w:rsid w:val="401A03CE"/>
    <w:rsid w:val="406075D2"/>
    <w:rsid w:val="406D1780"/>
    <w:rsid w:val="409A1B98"/>
    <w:rsid w:val="40CD6B92"/>
    <w:rsid w:val="411B4824"/>
    <w:rsid w:val="413D5C6F"/>
    <w:rsid w:val="413D73C6"/>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4314FE"/>
    <w:rsid w:val="435201BE"/>
    <w:rsid w:val="435C52D6"/>
    <w:rsid w:val="43645516"/>
    <w:rsid w:val="437A2C86"/>
    <w:rsid w:val="439C25AD"/>
    <w:rsid w:val="44241DDE"/>
    <w:rsid w:val="44276889"/>
    <w:rsid w:val="44364115"/>
    <w:rsid w:val="44530233"/>
    <w:rsid w:val="44E1632C"/>
    <w:rsid w:val="44EB798A"/>
    <w:rsid w:val="45456F39"/>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AE5964"/>
    <w:rsid w:val="53B352C1"/>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5478E7"/>
    <w:rsid w:val="5D80343C"/>
    <w:rsid w:val="5D850726"/>
    <w:rsid w:val="5DA25457"/>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197D0B"/>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4D11F1"/>
    <w:rsid w:val="64806028"/>
    <w:rsid w:val="64CF2277"/>
    <w:rsid w:val="64F73439"/>
    <w:rsid w:val="650802E3"/>
    <w:rsid w:val="650B252D"/>
    <w:rsid w:val="6530763D"/>
    <w:rsid w:val="6531024B"/>
    <w:rsid w:val="65506B03"/>
    <w:rsid w:val="6574639E"/>
    <w:rsid w:val="657D32A1"/>
    <w:rsid w:val="657E3736"/>
    <w:rsid w:val="65A626D8"/>
    <w:rsid w:val="66083494"/>
    <w:rsid w:val="661A0A02"/>
    <w:rsid w:val="66257BD6"/>
    <w:rsid w:val="667C7C00"/>
    <w:rsid w:val="668E1C3C"/>
    <w:rsid w:val="66E84324"/>
    <w:rsid w:val="66F44120"/>
    <w:rsid w:val="67321F44"/>
    <w:rsid w:val="67390939"/>
    <w:rsid w:val="676C2CBF"/>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F5F4E"/>
    <w:rsid w:val="6BED58AF"/>
    <w:rsid w:val="6C3E424F"/>
    <w:rsid w:val="6C50014D"/>
    <w:rsid w:val="6C597288"/>
    <w:rsid w:val="6C612D7E"/>
    <w:rsid w:val="6C7102D6"/>
    <w:rsid w:val="6C85002C"/>
    <w:rsid w:val="6C9D1BCF"/>
    <w:rsid w:val="6CA711B8"/>
    <w:rsid w:val="6CC01C2A"/>
    <w:rsid w:val="6CC170A1"/>
    <w:rsid w:val="6CD917D9"/>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05E07"/>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6F004B5"/>
    <w:rsid w:val="770352EE"/>
    <w:rsid w:val="77565832"/>
    <w:rsid w:val="776E4150"/>
    <w:rsid w:val="7780037D"/>
    <w:rsid w:val="77890BDB"/>
    <w:rsid w:val="7793733B"/>
    <w:rsid w:val="77BA414F"/>
    <w:rsid w:val="77D3660D"/>
    <w:rsid w:val="785437D3"/>
    <w:rsid w:val="78565AAF"/>
    <w:rsid w:val="78BE7CBA"/>
    <w:rsid w:val="78C10517"/>
    <w:rsid w:val="78C71CD3"/>
    <w:rsid w:val="78DD3131"/>
    <w:rsid w:val="78E4026D"/>
    <w:rsid w:val="79427878"/>
    <w:rsid w:val="79430348"/>
    <w:rsid w:val="796563A2"/>
    <w:rsid w:val="79701A39"/>
    <w:rsid w:val="799975C1"/>
    <w:rsid w:val="79B810F6"/>
    <w:rsid w:val="7A082988"/>
    <w:rsid w:val="7A1C10FB"/>
    <w:rsid w:val="7A286937"/>
    <w:rsid w:val="7A33250D"/>
    <w:rsid w:val="7A424D7F"/>
    <w:rsid w:val="7A4D4FC3"/>
    <w:rsid w:val="7A8A4F36"/>
    <w:rsid w:val="7AB87EDD"/>
    <w:rsid w:val="7ABA7BB0"/>
    <w:rsid w:val="7ABB0624"/>
    <w:rsid w:val="7ABE78CA"/>
    <w:rsid w:val="7AC84DC1"/>
    <w:rsid w:val="7AE64B83"/>
    <w:rsid w:val="7AF42850"/>
    <w:rsid w:val="7B002162"/>
    <w:rsid w:val="7B124FB7"/>
    <w:rsid w:val="7B361A8A"/>
    <w:rsid w:val="7B4D52D4"/>
    <w:rsid w:val="7B83108A"/>
    <w:rsid w:val="7BAE5A06"/>
    <w:rsid w:val="7BDF1C40"/>
    <w:rsid w:val="7BFE2799"/>
    <w:rsid w:val="7CAB63B7"/>
    <w:rsid w:val="7CB818B8"/>
    <w:rsid w:val="7CD50713"/>
    <w:rsid w:val="7D8C5E76"/>
    <w:rsid w:val="7DA0352B"/>
    <w:rsid w:val="7DB019FA"/>
    <w:rsid w:val="7DCC7103"/>
    <w:rsid w:val="7DD2454F"/>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E5C3FF-D5A7-46A6-A956-D5CCFD216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qFormat/>
    <w:pPr>
      <w:spacing w:beforeAutospacing="1" w:after="0" w:afterAutospacing="1"/>
    </w:pPr>
    <w:rPr>
      <w:rFonts w:cs="Times New Roman"/>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basedOn w:val="a0"/>
    <w:qFormat/>
    <w:rPr>
      <w:i/>
    </w:rPr>
  </w:style>
  <w:style w:type="character" w:styleId="af">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0">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b"/>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1">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qFormat/>
  </w:style>
  <w:style w:type="paragraph" w:styleId="af2">
    <w:name w:val="Revision"/>
    <w:hidden/>
    <w:uiPriority w:val="99"/>
    <w:semiHidden/>
    <w:rsid w:val="005A6D1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F80628-7282-4B35-89C4-B80A9CE1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2149</Words>
  <Characters>12253</Characters>
  <Application>Microsoft Office Word</Application>
  <DocSecurity>0</DocSecurity>
  <Lines>102</Lines>
  <Paragraphs>28</Paragraphs>
  <ScaleCrop>false</ScaleCrop>
  <Company/>
  <LinksUpToDate>false</LinksUpToDate>
  <CharactersWithSpaces>14374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23</cp:revision>
  <dcterms:created xsi:type="dcterms:W3CDTF">2022-08-11T07:33:00Z</dcterms:created>
  <dcterms:modified xsi:type="dcterms:W3CDTF">2022-09-30T06:13:00Z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